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项目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需求及技术要求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一、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采购需求一览表</w:t>
      </w:r>
    </w:p>
    <w:tbl>
      <w:tblPr>
        <w:tblStyle w:val="6"/>
        <w:tblW w:w="964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145"/>
        <w:gridCol w:w="1115"/>
        <w:gridCol w:w="990"/>
        <w:gridCol w:w="750"/>
        <w:gridCol w:w="1446"/>
        <w:gridCol w:w="1214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4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114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包别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划分</w:t>
            </w:r>
          </w:p>
        </w:tc>
        <w:tc>
          <w:tcPr>
            <w:tcW w:w="111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99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数量</w:t>
            </w:r>
          </w:p>
        </w:tc>
        <w:tc>
          <w:tcPr>
            <w:tcW w:w="75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单位</w:t>
            </w:r>
          </w:p>
        </w:tc>
        <w:tc>
          <w:tcPr>
            <w:tcW w:w="144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最高限价</w:t>
            </w:r>
          </w:p>
        </w:tc>
        <w:tc>
          <w:tcPr>
            <w:tcW w:w="121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单件产品最高限价</w:t>
            </w:r>
          </w:p>
        </w:tc>
        <w:tc>
          <w:tcPr>
            <w:tcW w:w="13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648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安庆市二院健康管理有限公司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宣传品采购项目（二次）</w:t>
            </w:r>
          </w:p>
        </w:tc>
        <w:tc>
          <w:tcPr>
            <w:tcW w:w="1145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1个包</w:t>
            </w:r>
          </w:p>
        </w:tc>
        <w:tc>
          <w:tcPr>
            <w:tcW w:w="111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圆柱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笔</w:t>
            </w:r>
          </w:p>
        </w:tc>
        <w:tc>
          <w:tcPr>
            <w:tcW w:w="99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20000</w:t>
            </w:r>
          </w:p>
        </w:tc>
        <w:tc>
          <w:tcPr>
            <w:tcW w:w="75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支</w:t>
            </w:r>
          </w:p>
        </w:tc>
        <w:tc>
          <w:tcPr>
            <w:tcW w:w="144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30000.00元</w:t>
            </w:r>
          </w:p>
        </w:tc>
        <w:tc>
          <w:tcPr>
            <w:tcW w:w="121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1.5元/支</w:t>
            </w:r>
          </w:p>
        </w:tc>
        <w:tc>
          <w:tcPr>
            <w:tcW w:w="1336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供应商所报价格不能超过对应最高限价。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648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  <w:tc>
          <w:tcPr>
            <w:tcW w:w="1145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笔记本</w:t>
            </w:r>
          </w:p>
        </w:tc>
        <w:tc>
          <w:tcPr>
            <w:tcW w:w="99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20000</w:t>
            </w:r>
          </w:p>
        </w:tc>
        <w:tc>
          <w:tcPr>
            <w:tcW w:w="75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本</w:t>
            </w:r>
          </w:p>
        </w:tc>
        <w:tc>
          <w:tcPr>
            <w:tcW w:w="144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30000.00元</w:t>
            </w:r>
          </w:p>
        </w:tc>
        <w:tc>
          <w:tcPr>
            <w:tcW w:w="121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1.5元/本</w:t>
            </w:r>
          </w:p>
        </w:tc>
        <w:tc>
          <w:tcPr>
            <w:tcW w:w="1336" w:type="dxa"/>
            <w:vMerge w:val="continue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793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lang w:eastAsia="zh-CN"/>
              </w:rPr>
              <w:t>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lang w:eastAsia="zh-CN"/>
              </w:rPr>
              <w:t>计</w:t>
            </w:r>
          </w:p>
        </w:tc>
        <w:tc>
          <w:tcPr>
            <w:tcW w:w="6851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lang w:eastAsia="zh-CN"/>
              </w:rPr>
              <w:t>人民币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lang w:val="en-US" w:eastAsia="zh-CN"/>
              </w:rPr>
              <w:t>肆万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lang w:eastAsia="zh-CN"/>
              </w:rPr>
              <w:t>元整（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lang w:val="en-US" w:eastAsia="zh-CN"/>
              </w:rPr>
              <w:t>60000.00元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lang w:eastAsia="zh-CN"/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二、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采购要求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482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（一）报价要求：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供应商的报价应包括：人员费用、材料费用、印刷费用、运输费用、管理费及税金等为完成文件规定全部内容所需的一切应有费用。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（二）时间及地点要求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（1）时间要求：所有货物签订合同后20个日历天内完成供货及配送工作。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（2）交货地点：送至采购人指定地点。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（三）付款方式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全部物品到货验收合格后7个工作日内一次性完成支付。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（四）履约保证金：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中标金额的10%。验收合格后7个工作日内无息退还。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（五）验收方法及标准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按照双方签订的采购合同和技术要求及标准对每一环节、标准的履约情况进行验收。验收结束后，应当出具验收书，由双方共同签署。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三、技术要求及标准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（一）圆珠笔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圆珠笔的具体尺寸及其他标准（见示意图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sz w:val="24"/>
          <w:szCs w:val="24"/>
          <w:lang w:val="en-US" w:eastAsia="zh-CN"/>
        </w:rPr>
        <w:t>（允许误差范围±2mm）</w:t>
      </w:r>
    </w:p>
    <w:p>
      <w:pPr>
        <w:numPr>
          <w:ilvl w:val="0"/>
          <w:numId w:val="0"/>
        </w:numPr>
        <w:jc w:val="center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drawing>
          <wp:inline distT="0" distB="0" distL="114300" distR="114300">
            <wp:extent cx="3114675" cy="1028700"/>
            <wp:effectExtent l="0" t="0" r="9525" b="0"/>
            <wp:docPr id="1" name="图片 1" descr="MTXX_4D2zk6QUxgODXjObdaYHDQoz1b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MTXX_4D2zk6QUxgODXjObdaYHDQoz1b58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触屏部分：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触屏部分的材质为硅胶头，要求灵敏度高、兼容性广。</w:t>
      </w:r>
    </w:p>
    <w:p>
      <w:pPr>
        <w:numPr>
          <w:ilvl w:val="0"/>
          <w:numId w:val="0"/>
        </w:numPr>
        <w:ind w:leftChars="0"/>
        <w:jc w:val="center"/>
        <w:rPr>
          <w:rFonts w:hint="eastAsia" w:asciiTheme="minorEastAsia" w:hAnsiTheme="minorEastAsia" w:eastAsiaTheme="minorEastAsia" w:cstheme="minorEastAsia"/>
          <w:lang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Theme="minorEastAsia" w:hAnsiTheme="minorEastAsia" w:eastAsiaTheme="minorEastAsia" w:cs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笔芯部分：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笔芯规格为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0.5mm，用完可替换。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drawing>
          <wp:inline distT="0" distB="0" distL="114300" distR="114300">
            <wp:extent cx="3790950" cy="1285875"/>
            <wp:effectExtent l="0" t="0" r="0" b="9525"/>
            <wp:docPr id="5" name="图片 5" descr="28ed9538d35ae1e6c037b01e94d8c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8ed9538d35ae1e6c037b01e94d8c2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3.握笔部分：要呈三角形（见示意图3）</w:t>
      </w:r>
    </w:p>
    <w:p>
      <w:pPr>
        <w:pStyle w:val="2"/>
        <w:spacing w:line="240" w:lineRule="auto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1609725" cy="3143250"/>
            <wp:effectExtent l="0" t="0" r="9525" b="0"/>
            <wp:docPr id="7" name="图片 7" descr="3b834258c68f2ffc21135a9a782bf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b834258c68f2ffc21135a9a782bfa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笔芯部分：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LOGO及宣传标语部分（示意图1）：由中标人根据业主需求</w:t>
      </w:r>
      <w:r>
        <w:rPr>
          <w:rFonts w:hint="eastAsia" w:asciiTheme="minorEastAsia" w:hAnsiTheme="minorEastAsia" w:eastAsiaTheme="minorEastAsia" w:cstheme="minorEastAsia"/>
          <w:b/>
          <w:bCs/>
          <w:spacing w:val="23"/>
          <w:sz w:val="24"/>
          <w:szCs w:val="24"/>
          <w:lang w:val="en-US" w:eastAsia="zh-CN"/>
        </w:rPr>
        <w:t>自行设计，设计方案经业主同意后方可进行下一步制作。</w:t>
      </w:r>
    </w:p>
    <w:p>
      <w:pPr>
        <w:pStyle w:val="4"/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74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pacing w:val="23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23"/>
          <w:sz w:val="24"/>
          <w:szCs w:val="24"/>
          <w:lang w:val="en-US" w:eastAsia="zh-CN"/>
        </w:rPr>
        <w:t>(二)笔记本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pacing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0"/>
          <w:sz w:val="24"/>
          <w:szCs w:val="24"/>
          <w:lang w:val="en-US" w:eastAsia="zh-CN"/>
        </w:rPr>
        <w:t>（1）封面及封底要求：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sz w:val="24"/>
          <w:szCs w:val="24"/>
          <w:lang w:val="en-US" w:eastAsia="zh-CN"/>
        </w:rPr>
        <w:t>成品尺寸为210mm×140mm（允许误差范围±5mm）；封面采用157g铜版纸印刷，</w:t>
      </w:r>
      <w:r>
        <w:rPr>
          <w:rFonts w:hint="eastAsia" w:asciiTheme="minorEastAsia" w:hAnsiTheme="minorEastAsia" w:eastAsiaTheme="minorEastAsia" w:cstheme="minorEastAsia"/>
          <w:b/>
          <w:bCs/>
          <w:spacing w:val="0"/>
          <w:sz w:val="24"/>
          <w:szCs w:val="24"/>
          <w:lang w:val="en-US" w:eastAsia="zh-CN"/>
        </w:rPr>
        <w:t>封面印刷内容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由中标人根据业主需求</w:t>
      </w:r>
      <w:r>
        <w:rPr>
          <w:rFonts w:hint="eastAsia" w:asciiTheme="minorEastAsia" w:hAnsiTheme="minorEastAsia" w:eastAsiaTheme="minorEastAsia" w:cstheme="minorEastAsia"/>
          <w:b/>
          <w:bCs/>
          <w:spacing w:val="23"/>
          <w:sz w:val="24"/>
          <w:szCs w:val="24"/>
          <w:lang w:val="en-US" w:eastAsia="zh-CN"/>
        </w:rPr>
        <w:t>自行设计，设计方案经业主同意后方可进行下一步制作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sz w:val="24"/>
          <w:szCs w:val="24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pacing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0"/>
          <w:sz w:val="24"/>
          <w:szCs w:val="24"/>
          <w:lang w:val="en-US" w:eastAsia="zh-CN"/>
        </w:rPr>
        <w:t>（2）内页要求：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sz w:val="24"/>
          <w:szCs w:val="24"/>
          <w:lang w:val="en-US" w:eastAsia="zh-CN"/>
        </w:rPr>
        <w:t>成品尺寸为210mm×140mm（允许误差范围±5mm）。内页第1、2、43、44页为彩色印刷，采用128g铜版纸，印刷内容；内页第3-42页采用80g双胶纸，行距为8㎜横线格，黑白印刷，内容相同。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pacing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0"/>
          <w:kern w:val="0"/>
          <w:sz w:val="24"/>
          <w:szCs w:val="24"/>
          <w:lang w:val="en-US" w:eastAsia="zh-CN" w:bidi="ar-SA"/>
        </w:rPr>
        <w:t>（3）装订要求：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0"/>
          <w:sz w:val="24"/>
          <w:szCs w:val="24"/>
          <w:lang w:val="en-US" w:eastAsia="zh-CN"/>
        </w:rPr>
        <w:t>采用骑马钉装订。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pacing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四、样品要求：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default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（一）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样品要求：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各潜在供应商，请严格按照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圆珠笔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笔记本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的技术要求及标准提供样品各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1份（多提供的、同一样品提供两份及以上的均按无效标处理），评审时对各供应商提供的样品进行评定。圆珠笔及笔记本相关印刷内容在样品评审时不做要求。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pacing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 w:bidi="ar-SA"/>
        </w:rPr>
        <w:t>（二）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样品所产生的所有费用，各供应商自行承担。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8"/>
          <w:szCs w:val="28"/>
          <w:lang w:val="en-US" w:eastAsia="zh-CN" w:bidi="ar-SA"/>
        </w:rPr>
        <w:t>五、特别说明：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pacing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0"/>
          <w:sz w:val="24"/>
          <w:szCs w:val="24"/>
          <w:lang w:val="en-US" w:eastAsia="zh-CN"/>
        </w:rPr>
        <w:t>1.所提供的样品必须符合以上产品的要求、标准及设计元素有一项不符合要求的，按无效标处理。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pacing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0"/>
          <w:sz w:val="24"/>
          <w:szCs w:val="24"/>
          <w:lang w:val="en-US" w:eastAsia="zh-CN"/>
        </w:rPr>
        <w:t>2.采购需求中的图片只是为了更加清楚、更加形象的表达产品的形状及特征。各潜在供应商可根据采购要求、标准及设计元素，自行设计产品。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pacing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0"/>
          <w:sz w:val="24"/>
          <w:szCs w:val="24"/>
          <w:lang w:val="en-US" w:eastAsia="zh-CN"/>
        </w:rPr>
        <w:t>3.中标后，采购人在不改变其材质、不增加其成本等情况下，可以更改采购物品的颜色、排版等内容。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F6A3D"/>
    <w:rsid w:val="224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widowControl/>
      <w:tabs>
        <w:tab w:val="left" w:pos="432"/>
      </w:tabs>
      <w:ind w:left="432" w:hanging="432"/>
      <w:jc w:val="center"/>
      <w:outlineLvl w:val="0"/>
    </w:pPr>
    <w:rPr>
      <w:rFonts w:ascii="黑体" w:eastAsia="黑体"/>
      <w:kern w:val="0"/>
      <w:sz w:val="52"/>
      <w:szCs w:val="20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 New"/>
    <w:basedOn w:val="1"/>
    <w:qFormat/>
    <w:uiPriority w:val="0"/>
    <w:pPr>
      <w:spacing w:before="100" w:beforeAutospacing="1" w:after="100" w:afterAutospacing="1" w:line="440" w:lineRule="exact"/>
      <w:ind w:left="357" w:hanging="357"/>
    </w:pPr>
    <w:rPr>
      <w:szCs w:val="21"/>
    </w:rPr>
  </w:style>
  <w:style w:type="paragraph" w:styleId="4">
    <w:name w:val="Plain Text"/>
    <w:basedOn w:val="1"/>
    <w:next w:val="1"/>
    <w:qFormat/>
    <w:uiPriority w:val="0"/>
    <w:rPr>
      <w:rFonts w:ascii="宋体" w:hAnsi="Courier New"/>
      <w:szCs w:val="20"/>
    </w:rPr>
  </w:style>
  <w:style w:type="table" w:styleId="6">
    <w:name w:val="Table Grid"/>
    <w:basedOn w:val="5"/>
    <w:qFormat/>
    <w:uiPriority w:val="0"/>
    <w:rPr>
      <w:lang w:val="en-US" w:eastAsia="zh-CN" w:bidi="ar-SA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2021-11-26T01:58:00Z</dcterms:created>
  <dc:creator>包星星</dc:creator>
  <cp:lastModifiedBy>包星星</cp:lastModifiedBy>
  <dcterms:modified xsi:type="dcterms:W3CDTF">2021-11-26T01:59:22Z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18223A97150A4496820A5D06083989F3</vt:lpwstr>
  </property>
</Properties>
</file>