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highlight w:val="none"/>
        </w:rPr>
      </w:pPr>
      <w:r>
        <w:rPr>
          <w:rFonts w:hint="eastAsia"/>
          <w:highlight w:val="none"/>
        </w:rPr>
        <w:t>服务需求及技术要求</w:t>
      </w:r>
    </w:p>
    <w:p>
      <w:pPr>
        <w:pStyle w:val="4"/>
        <w:spacing w:before="0" w:after="0" w:line="500" w:lineRule="exact"/>
        <w:jc w:val="left"/>
        <w:rPr>
          <w:sz w:val="28"/>
          <w:szCs w:val="28"/>
          <w:highlight w:val="none"/>
        </w:rPr>
      </w:pPr>
      <w:bookmarkStart w:id="0" w:name="_Toc4579"/>
      <w:r>
        <w:rPr>
          <w:rFonts w:hint="eastAsia"/>
          <w:sz w:val="28"/>
          <w:szCs w:val="28"/>
          <w:highlight w:val="none"/>
        </w:rPr>
        <w:t>一、服务需求及技术要求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1、服务需求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安庆市第二人民医院检验科外送项目，具体内容见附表。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2、投标人从事检验从业人员的要求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（1）投标人应具有临床检验或临床医师资质的人员，应熟悉承检项目的检验方法及相关法律法规要求，并具有较为丰富的医学检验工作经验。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（2）投标人医学检验从业人员岗位职责、分工明确。投标供应商应设置有独立的技术管理人员、业务管理人员、检验人员等医学检验从业人员，可分别承担检测、数据汇总、结果报送、分析评估等工作，能按照时限要求汇总上报检测相关信息，医学检验从业人员总体数量与承检任务要求相匹配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（3）投标人医学检验从业人员职称结构良好。在临床检验质量安全、检验方法等专业方向具有专业人才，熟练掌握安全标准、法规，能按照国内现行有效的标准方法从事医学检测工作。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（4）投标人具有专门从事医疗机构检验标本运送的工作人员，并经过培训考核，熟悉和掌握标本的采集方法和相关技术要求。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3、投标人实验室环境设施和仪器设备要求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（1）投标人具有满足承检任务需要的医学检测实验室面积，以及标本贮存需要的常温以及冷藏冷冻库。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（2）投标人实验室环境设施应当符合国家实验室有关管理规定的要求。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（3）投标人实验室设置应当满足医学标本的储存、处理、检验、数据处理、结果分析汇总等工作要求。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（4）中标人实验室具有固定并满足承检任务需要的仪器设备和标准物质。保证仪器设备运行良好，有完整的仪器设备档案。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4、投标人具备配合招标人应急处置的能力。需在突发事件发生时做出有效响应，防止和消除可能发生的医学安全隐患。在应急情况下，中标人一般应在不超过1小时内到现场收集标本,且为保证检验结果的准确性和时效性，中标人收到标本到进入中标人实验室时间不得超过 2.5 小时。具体的应急处理保障措施，应在应急处理方案中详细表述。能够按照规定的时限完成送样、检验、数据报送任务，并提供良好的检验检测相关服务。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5、无条件接受各级卫健部门组织的检查和考核。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6、中标人在履约期间如被发现存在虚假行为，采购人有权利终止合同，并上报监管机构予以处理， 由此带来的一切责任均由中标人承担。</w:t>
      </w:r>
    </w:p>
    <w:p>
      <w:pPr>
        <w:pStyle w:val="4"/>
        <w:spacing w:before="0" w:after="0" w:line="500" w:lineRule="exact"/>
        <w:jc w:val="left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二、报价要求：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1、本项目投标报价为完成本项目所有检测项目过程中的各项服务、试剂及辅助耗材、正常损耗、交通、器具、管理、验收、利润、税金等全部费用在内的综合报价。招标人后期不增加任何费用，如有漏项或缺项，投标人承担全部责任。</w:t>
      </w:r>
    </w:p>
    <w:p>
      <w:pPr>
        <w:pStyle w:val="13"/>
        <w:spacing w:beforeLines="0" w:after="0" w:line="500" w:lineRule="exact"/>
        <w:ind w:left="0" w:leftChars="0" w:firstLine="420" w:firstLine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2、报价形式为费率报价，列明的收费标准中的项目价格为计算基数。结算价格计算方式如下：项目价格×中标费率=结算价格（单价），结算价格即为合同价款。</w:t>
      </w:r>
    </w:p>
    <w:p>
      <w:pPr>
        <w:pStyle w:val="4"/>
        <w:spacing w:before="0" w:after="0" w:line="500" w:lineRule="exact"/>
        <w:jc w:val="left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三、附表：</w:t>
      </w:r>
    </w:p>
    <w:p>
      <w:pPr>
        <w:widowControl/>
        <w:spacing w:line="500" w:lineRule="exact"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24"/>
          <w:highlight w:val="none"/>
        </w:rPr>
        <w:sectPr>
          <w:headerReference r:id="rId3" w:type="default"/>
          <w:footerReference r:id="rId4" w:type="default"/>
          <w:pgSz w:w="11906" w:h="16838"/>
          <w:pgMar w:top="1418" w:right="1418" w:bottom="1418" w:left="1418" w:header="680" w:footer="680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horzAnchor="page" w:tblpX="1278" w:tblpY="425"/>
        <w:tblOverlap w:val="never"/>
        <w:tblW w:w="9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95"/>
        <w:gridCol w:w="3765"/>
        <w:gridCol w:w="1035"/>
        <w:gridCol w:w="660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安庆市第二人民医院检验科外送项目明细表（年参考用量）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送检组合名称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物价编码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具体项目名称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项目价格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拟使用例数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250501040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(1,3）-β-D葡聚糖检测(真菌G试验）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24h尿17羟皮质类固醇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24h尿皮质醇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25-羟基维生素D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CLAE8000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EBV病毒核酸检测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EB病毒检测四项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EB病毒壳抗原IgG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21.6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EB病毒早期抗原IgG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21.6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EB病毒壳抗原IgA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21.6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EB病毒早期抗原IgA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21.6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260000018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IgG抗A效价测定（抗A抗体）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260000018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IgG抗B效价测定（抗B抗体）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丙型肝炎病毒核酸定量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促甲状腺素受体抗体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促肾上腺皮质激素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地高辛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丁型肝炎病毒IgG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丁型肝炎病毒IgM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儿茶酚胺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肾上腺素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去甲肾上腺素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儿茶酚胺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肥达反应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高血压三项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血浆肾素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血管紧张素Ⅰ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血管紧张素Ⅱ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高血压四项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血浆肾素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血管紧张素Ⅰ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血管紧张素Ⅱ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血醛固酮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庚型肝炎病毒抗体IgG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骨代谢五项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250305013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骨源性碱性磷酸酶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250311007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β－胶原特殊序列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25羟维生素D测定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250311006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骨钙素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250311005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I型胶原羧基端前肽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（PICP）测定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甲肝抗体IgM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甲状旁腺激素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甲状腺结合球蛋白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甲状腺球蛋白抗体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降钙素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结核分枝杆菌抗体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260000018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抗D抗体效价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抗核抗体两项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抗核抗体ANA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抗双链DNA测定（抗DsDNA)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抗环瓜氨酸肽抗体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抗甲状腺过氧化物酶抗体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250202035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抗人球蛋白试验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抗心磷脂抗体IgA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抗心磷脂抗体IgG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抗心磷脂抗体IgM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抗胰岛细胞抗体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抗乙酰胆碱酯酶受体抗体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250402005*2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抗中性粒细胞胞浆抗体二项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CESD2000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类胰岛素生长因子结合蛋白3（IGF-BP3）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250401027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尿K、λ链组合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250102007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尿本-周氏蛋白定性检查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250401027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尿轻链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皮质醇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250501040*2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曲霉菌抗原（GM试验）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250203068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人类白细胞抗原B27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生长激素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250405003*10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食物特异性IgE抗体10项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糖尿病自身抗体3项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抗胰岛素抗体测定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血清抗谷氨酸脱羧酶抗体测定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抗组织细胞抗体测定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外斐氏反应(组合)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250304013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微量元素六项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维生素A分型及血清浓度测定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维生素A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维生素A血清浓度测定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维生素B12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维生素D分型及血清浓度测定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25羟维生素D测定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维生素D血清浓度测定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维生素E分型及血清浓度测定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维生素E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维生素E血清浓度测定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戊型肝炎病毒抗体IgG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戊型肝炎病毒抗体IgM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250405002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吸入及食物IgE抗体20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14840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250405002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吸入性特异性IgE抗体10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250503006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细菌内毒素定量检测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250305023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腺苷脱氨酶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260000018*2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新生儿溶血症筛查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血管炎标志抗体5项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抗肾小球基底膜抗体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250402005*2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抗中性粒细胞胞浆抗体二项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抗胰蛋白酶-3（PR3）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抗髓过氧化物酶（MPO）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血清抗谷氨酸脱羧酶抗体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250310023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血醛固酮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250309003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叶酸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CESD2000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胰岛素生长因子1（IGF1）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250402026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胰岛素自身抗体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250403003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乙肝核酸定量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250301007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转铁蛋白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250405001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总IgE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自身免疫性肝病抗体12项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250402005*2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抗中性粒细胞胞浆抗体二项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250402002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抗核抗体测定（ANA）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250402003*8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抗核提取物抗体测定（抗ENA抗体）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250402006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</w:rPr>
              <w:t>抗双链DNA测定（抗dsDNA）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900</w:t>
            </w:r>
          </w:p>
        </w:tc>
      </w:tr>
      <w:bookmarkEnd w:id="0"/>
    </w:tbl>
    <w:p>
      <w:pPr>
        <w:widowControl/>
        <w:spacing w:line="500" w:lineRule="exact"/>
        <w:ind w:firstLine="405"/>
        <w:jc w:val="lef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84" w:line="170" w:lineRule="auto"/>
      <w:ind w:left="445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  <w:p>
                          <w:pPr>
                            <w:pStyle w:val="8"/>
                          </w:pPr>
                        </w:p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20TZo6AgAAcQQAAA4AAABkcnMvZTJvRG9jLnhtbK1UzY7TMBC+I/EO&#10;lu80adEu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ANtE2a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  <w:p>
                    <w:pPr>
                      <w:pStyle w:val="8"/>
                    </w:pPr>
                  </w:p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10101580</wp:posOffset>
              </wp:positionV>
              <wp:extent cx="5760085" cy="6350"/>
              <wp:effectExtent l="0" t="0" r="0" b="0"/>
              <wp:wrapNone/>
              <wp:docPr id="2" name="自选图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85" cy="6350"/>
                      </a:xfrm>
                      <a:custGeom>
                        <a:avLst/>
                        <a:gdLst>
                          <a:gd name="A1" fmla="val 0"/>
                        </a:gdLst>
                        <a:ahLst/>
                        <a:cxnLst/>
                        <a:pathLst>
                          <a:path w="9070" h="10">
                            <a:moveTo>
                              <a:pt x="0" y="0"/>
                            </a:moveTo>
                            <a:lnTo>
                              <a:pt x="9070" y="0"/>
                            </a:lnTo>
                            <a:lnTo>
                              <a:pt x="9070" y="9"/>
                            </a:lnTo>
                            <a:lnTo>
                              <a:pt x="0" y="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自选图形 12" o:spid="_x0000_s1026" o:spt="100" style="position:absolute;left:0pt;margin-left:70.9pt;margin-top:795.4pt;height:0.5pt;width:453.55pt;mso-position-horizontal-relative:page;mso-position-vertical-relative:page;z-index:251659264;mso-width-relative:page;mso-height-relative:page;" fillcolor="#000000" filled="t" stroked="f" coordsize="9070,10" o:allowincell="f" o:gfxdata="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6exdnXAAAA&#10;DgEAAA8AAAAAAAAAAQAgAAAAIgAAAGRycy9kb3ducmV2LnhtbFBLAQIUABQAAAAIAIdO4kAUtWKC&#10;HgIAAJ4EAAAOAAAAAAAAAAEAIAAAACYBAABkcnMvZTJvRG9jLnhtbFBLBQYAAAAABgAGAFkBAAC2&#10;BQAAAAA=&#10;" path="m0,0l9070,0,9070,9,0,9,0,0xe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</w:p>
  <w:p>
    <w:pPr>
      <w:pStyle w:val="2"/>
      <w:tabs>
        <w:tab w:val="clear" w:pos="567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NGJiNDZkMjBjZTFlMmM3MzUxZDVlNzQ3YzdmMzcifQ=="/>
  </w:docVars>
  <w:rsids>
    <w:rsidRoot w:val="31F359B7"/>
    <w:rsid w:val="31F359B7"/>
    <w:rsid w:val="38A3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customStyle="1" w:styleId="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Helvetica" w:hAnsi="Helvetica" w:eastAsia="宋体" w:cs="Helvetica"/>
      <w:color w:val="000000"/>
      <w:sz w:val="24"/>
      <w:szCs w:val="24"/>
      <w:lang w:val="en-US" w:eastAsia="zh-CN" w:bidi="ar-SA"/>
    </w:r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样式3"/>
    <w:basedOn w:val="5"/>
    <w:next w:val="1"/>
    <w:qFormat/>
    <w:uiPriority w:val="0"/>
    <w:rPr>
      <w:rFonts w:ascii="Calibri Light" w:hAnsi="Calibri Light" w:eastAsia="宋体" w:cs="Times New Roman"/>
      <w:bCs/>
      <w:sz w:val="24"/>
      <w:szCs w:val="32"/>
    </w:rPr>
  </w:style>
  <w:style w:type="paragraph" w:customStyle="1" w:styleId="13">
    <w:name w:val="模板普通正文"/>
    <w:basedOn w:val="6"/>
    <w:qFormat/>
    <w:uiPriority w:val="0"/>
    <w:pPr>
      <w:spacing w:beforeLines="50" w:after="10"/>
      <w:ind w:firstLine="490" w:firstLineChars="175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2023-08-17T08:06:00Z</dcterms:created>
  <dc:creator>乞力马扎罗</dc:creator>
  <cp:lastModifiedBy>乞力马扎罗</cp:lastModifiedBy>
  <dcterms:modified xsi:type="dcterms:W3CDTF">2023-08-17T08:06:35Z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427F602BDDCA4142A2AAE43C4DA297D2_11</vt:lpwstr>
  </property>
</Properties>
</file>