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highlight w:val="none"/>
        </w:rPr>
      </w:pPr>
      <w:r>
        <w:rPr>
          <w:rFonts w:hint="eastAsia"/>
          <w:highlight w:val="none"/>
        </w:rPr>
        <w:t>货物需求及技术要求</w:t>
      </w:r>
    </w:p>
    <w:p>
      <w:pPr>
        <w:widowControl/>
        <w:numPr>
          <w:ilvl w:val="0"/>
          <w:numId w:val="0"/>
        </w:numPr>
        <w:spacing w:line="500" w:lineRule="exact"/>
        <w:ind w:firstLine="422" w:firstLineChars="200"/>
        <w:jc w:val="left"/>
        <w:rPr>
          <w:rFonts w:hint="eastAsia" w:ascii="宋体" w:hAnsi="宋体" w:eastAsia="宋体" w:cs="Times New Roman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b/>
          <w:bCs/>
          <w:szCs w:val="21"/>
        </w:rPr>
        <w:t>为鼓励不同品牌的充分竞争，如某设备的某技术参数或要求属于个别品牌专有，则该技术参数及要求不具有限制性，投标人可对该参数或要求进行适当调整，但这种调整整体上要优于或相当于招标文件的相关要求，并说明调整理由，且该调整须经评委会审核认可。</w:t>
      </w:r>
    </w:p>
    <w:p>
      <w:pPr>
        <w:widowControl/>
        <w:numPr>
          <w:ilvl w:val="0"/>
          <w:numId w:val="1"/>
        </w:numPr>
        <w:spacing w:line="500" w:lineRule="exact"/>
        <w:ind w:left="0" w:leftChars="0" w:firstLine="0" w:firstLineChars="0"/>
        <w:jc w:val="left"/>
        <w:rPr>
          <w:rFonts w:hint="eastAsia" w:ascii="宋体" w:hAnsi="宋体" w:cs="Times New Roman"/>
          <w:b/>
          <w:bCs/>
          <w:sz w:val="24"/>
          <w:szCs w:val="24"/>
          <w:highlight w:val="none"/>
        </w:rPr>
      </w:pPr>
      <w:bookmarkStart w:id="0" w:name="_Toc28001"/>
      <w:bookmarkStart w:id="1" w:name="_Toc24273"/>
      <w:bookmarkStart w:id="2" w:name="_Toc4579"/>
      <w:r>
        <w:rPr>
          <w:rFonts w:hint="eastAsia" w:ascii="宋体" w:hAnsi="宋体" w:cs="Times New Roman"/>
          <w:b/>
          <w:bCs/>
          <w:sz w:val="24"/>
          <w:szCs w:val="24"/>
          <w:highlight w:val="none"/>
          <w:lang w:val="en-US" w:eastAsia="zh-CN"/>
        </w:rPr>
        <w:t>货物技术参数要</w:t>
      </w:r>
      <w:r>
        <w:rPr>
          <w:rFonts w:hint="eastAsia" w:ascii="宋体" w:hAnsi="宋体" w:cs="Times New Roman"/>
          <w:b/>
          <w:bCs/>
          <w:sz w:val="24"/>
          <w:szCs w:val="24"/>
          <w:highlight w:val="none"/>
        </w:rPr>
        <w:t>求一览表</w:t>
      </w:r>
      <w:bookmarkEnd w:id="0"/>
      <w:bookmarkEnd w:id="1"/>
    </w:p>
    <w:tbl>
      <w:tblPr>
        <w:tblStyle w:val="7"/>
        <w:tblpPr w:leftFromText="180" w:rightFromText="180" w:vertAnchor="text" w:horzAnchor="page" w:tblpX="1362" w:tblpY="347"/>
        <w:tblOverlap w:val="never"/>
        <w:tblW w:w="98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6833"/>
        <w:gridCol w:w="729"/>
        <w:gridCol w:w="10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6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技术要求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9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近视弱视综合治疗仪</w:t>
            </w:r>
          </w:p>
        </w:tc>
        <w:tc>
          <w:tcPr>
            <w:tcW w:w="6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1.技术指标：国家二类医疗器械。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Style w:val="9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有后台监控管理系统</w:t>
            </w:r>
            <w:r>
              <w:rPr>
                <w:rStyle w:val="9"/>
                <w:rFonts w:hint="eastAsia" w:ascii="宋体" w:hAnsi="宋体" w:cs="宋体"/>
                <w:color w:val="auto"/>
                <w:sz w:val="21"/>
                <w:szCs w:val="21"/>
                <w:lang w:val="en-US" w:eastAsia="zh-CN" w:bidi="ar"/>
              </w:rPr>
              <w:t>。</w:t>
            </w:r>
            <w:r>
              <w:rPr>
                <w:rStyle w:val="9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  <w:r>
              <w:rPr>
                <w:rStyle w:val="9"/>
                <w:rFonts w:hint="eastAsia" w:ascii="宋体" w:hAnsi="宋体" w:cs="宋体"/>
                <w:color w:val="auto"/>
                <w:sz w:val="21"/>
                <w:szCs w:val="21"/>
                <w:lang w:val="en-US" w:eastAsia="zh-CN" w:bidi="ar"/>
              </w:rPr>
              <w:t>3</w:t>
            </w:r>
            <w:r>
              <w:rPr>
                <w:rStyle w:val="9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.有功率安全监控系统</w:t>
            </w:r>
            <w:r>
              <w:rPr>
                <w:rStyle w:val="9"/>
                <w:rFonts w:hint="eastAsia" w:ascii="宋体" w:hAnsi="宋体" w:cs="宋体"/>
                <w:color w:val="auto"/>
                <w:sz w:val="21"/>
                <w:szCs w:val="21"/>
                <w:lang w:val="en-US" w:eastAsia="zh-CN" w:bidi="ar"/>
              </w:rPr>
              <w:t>。</w:t>
            </w: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10"/>
                <w:rFonts w:hint="eastAsia" w:ascii="宋体" w:hAnsi="宋体" w:cs="宋体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.激光部分：输出激光在观察口的光斑直径：10mm±2mm 输出激光功率（Pc）：2.0mW±0.5mW；输出功率稳定度优于±0.5mW 发射持续时间：180s±10s 激光波长λ：650nm±10nm。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 w:ascii="宋体" w:hAnsi="宋体" w:cs="宋体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.后像部分：高亮度持续时间：30s±3s，低亮度闪烁频率：0.33Hz±0.03Hz 低亮度闪烁持续时间：180s±10s。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 w:ascii="宋体" w:hAnsi="宋体" w:cs="宋体"/>
                <w:sz w:val="21"/>
                <w:szCs w:val="21"/>
                <w:lang w:val="en-US" w:eastAsia="zh-CN" w:bidi="ar"/>
              </w:rPr>
              <w:t>6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.多光谱闪烁部分：多光谱闪烁频率：0.33Hz±0.03Hz 多光谱闪烁持续时间：180s±10s。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 w:ascii="宋体" w:hAnsi="宋体" w:cs="宋体"/>
                <w:sz w:val="21"/>
                <w:szCs w:val="21"/>
                <w:lang w:val="en-US" w:eastAsia="zh-CN" w:bidi="ar"/>
              </w:rPr>
              <w:t>7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.光栅部分：光栅旋转频率：4圈/min±1圈/min 光栅旋转时间：180s±10s。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宋体" w:hAnsi="宋体" w:cs="宋体"/>
                <w:sz w:val="21"/>
                <w:szCs w:val="21"/>
                <w:lang w:val="en-US" w:eastAsia="zh-CN" w:bidi="ar"/>
              </w:rPr>
              <w:t>8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.工作条件：温度范围：5℃-40℃ ，相对湿度：&lt;80%RH，大气压强：86.0kPa-106.0kPa ，电源：AC 220V±22V，50Hz±1Hz。                                                     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line="360" w:lineRule="auto"/>
        <w:textAlignment w:val="auto"/>
        <w:rPr>
          <w:rFonts w:hint="eastAsia" w:hAnsi="宋体"/>
          <w:b/>
          <w:bCs/>
          <w:i w:val="0"/>
          <w:caps w:val="0"/>
          <w:spacing w:val="0"/>
          <w:w w:val="100"/>
          <w:sz w:val="24"/>
          <w:highlight w:val="none"/>
          <w:lang w:val="en-US" w:eastAsia="zh-CN"/>
        </w:rPr>
      </w:pPr>
      <w:r>
        <w:rPr>
          <w:rFonts w:hint="eastAsia" w:hAnsi="宋体"/>
          <w:b/>
          <w:bCs/>
          <w:i w:val="0"/>
          <w:caps w:val="0"/>
          <w:spacing w:val="0"/>
          <w:w w:val="100"/>
          <w:sz w:val="24"/>
          <w:highlight w:val="none"/>
          <w:lang w:val="en-US" w:eastAsia="zh-CN"/>
        </w:rPr>
        <w:t>二、其他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sz w:val="24"/>
          <w:highlight w:val="none"/>
        </w:rPr>
      </w:pPr>
      <w:r>
        <w:rPr>
          <w:rFonts w:hint="eastAsia"/>
          <w:b/>
          <w:sz w:val="24"/>
          <w:highlight w:val="none"/>
        </w:rPr>
        <w:t>（</w:t>
      </w:r>
      <w:r>
        <w:rPr>
          <w:rFonts w:hint="eastAsia"/>
          <w:b/>
          <w:sz w:val="24"/>
          <w:highlight w:val="none"/>
          <w:lang w:val="en-US" w:eastAsia="zh-CN"/>
        </w:rPr>
        <w:t>一</w:t>
      </w:r>
      <w:r>
        <w:rPr>
          <w:rFonts w:hint="eastAsia"/>
          <w:b/>
          <w:sz w:val="24"/>
          <w:highlight w:val="none"/>
        </w:rPr>
        <w:t>）人员培训要求</w:t>
      </w:r>
      <w:bookmarkEnd w:id="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 xml:space="preserve">   </w:t>
      </w:r>
      <w:r>
        <w:rPr>
          <w:rFonts w:hint="eastAsia" w:ascii="宋体" w:hAnsi="宋体"/>
          <w:sz w:val="22"/>
          <w:szCs w:val="22"/>
          <w:highlight w:val="none"/>
        </w:rPr>
        <w:t xml:space="preserve"> 货物安装、调试、验收合格后，中标人应对招标人的相关人员进行免费现场培训。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sz w:val="24"/>
          <w:highlight w:val="none"/>
        </w:rPr>
      </w:pPr>
      <w:bookmarkStart w:id="3" w:name="_Toc21193"/>
      <w:r>
        <w:rPr>
          <w:rFonts w:hint="eastAsia"/>
          <w:b/>
          <w:sz w:val="24"/>
          <w:highlight w:val="none"/>
        </w:rPr>
        <w:t>（</w:t>
      </w:r>
      <w:r>
        <w:rPr>
          <w:rFonts w:hint="eastAsia"/>
          <w:b/>
          <w:sz w:val="24"/>
          <w:highlight w:val="none"/>
          <w:lang w:val="en-US" w:eastAsia="zh-CN"/>
        </w:rPr>
        <w:t>二</w:t>
      </w:r>
      <w:r>
        <w:rPr>
          <w:rFonts w:hint="eastAsia"/>
          <w:b/>
          <w:sz w:val="24"/>
          <w:highlight w:val="none"/>
        </w:rPr>
        <w:t>）货物质量及售后服务要求</w:t>
      </w:r>
      <w:bookmarkEnd w:id="3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/>
          <w:sz w:val="22"/>
          <w:szCs w:val="22"/>
          <w:highlight w:val="none"/>
        </w:rPr>
      </w:pPr>
      <w:r>
        <w:rPr>
          <w:rFonts w:hint="eastAsia" w:ascii="宋体" w:hAnsi="宋体"/>
          <w:szCs w:val="21"/>
          <w:highlight w:val="none"/>
        </w:rPr>
        <w:t xml:space="preserve">    </w:t>
      </w:r>
      <w:r>
        <w:rPr>
          <w:rFonts w:hint="eastAsia" w:ascii="宋体" w:hAnsi="宋体"/>
          <w:sz w:val="22"/>
          <w:szCs w:val="22"/>
          <w:highlight w:val="none"/>
        </w:rPr>
        <w:t>1、货物质量：中标人提供的货物必须是全新、原装、合格正品，完全符合国家规定的质量标准和厂方的标准。货物完好，配件齐全。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eastAsia" w:ascii="宋体" w:hAnsi="宋体"/>
          <w:sz w:val="22"/>
          <w:szCs w:val="22"/>
          <w:highlight w:val="none"/>
        </w:rPr>
      </w:pPr>
      <w:r>
        <w:rPr>
          <w:rFonts w:hint="eastAsia" w:ascii="宋体" w:hAnsi="宋体"/>
          <w:sz w:val="22"/>
          <w:szCs w:val="22"/>
          <w:highlight w:val="none"/>
        </w:rPr>
        <w:t>2、保修及售后服务：依据商品的保修条款及售后服务条款，提供原厂质保，质保期按照国家规定，且不低于所供品牌向用户承诺的质保期限。招标文件另有约定的从其约定。质保期从货物验收合格后算起。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line="360" w:lineRule="auto"/>
        <w:ind w:left="0" w:leftChars="0" w:firstLine="440" w:firstLineChars="200"/>
        <w:textAlignment w:val="auto"/>
        <w:rPr>
          <w:rFonts w:hint="eastAsia" w:ascii="宋体" w:hAnsi="宋体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/>
          <w:sz w:val="22"/>
          <w:szCs w:val="22"/>
          <w:highlight w:val="none"/>
          <w:lang w:val="en-US" w:eastAsia="zh-CN"/>
        </w:rPr>
        <w:t>3、质保期：五年。（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仪器按需提供到医院，质保五年无人为损坏不能使用的换新机）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sz w:val="24"/>
          <w:highlight w:val="none"/>
        </w:rPr>
      </w:pPr>
      <w:bookmarkStart w:id="4" w:name="_Toc23093"/>
      <w:r>
        <w:rPr>
          <w:rFonts w:hint="eastAsia"/>
          <w:b/>
          <w:sz w:val="24"/>
          <w:highlight w:val="none"/>
        </w:rPr>
        <w:t>（</w:t>
      </w:r>
      <w:r>
        <w:rPr>
          <w:rFonts w:hint="eastAsia"/>
          <w:b/>
          <w:sz w:val="24"/>
          <w:highlight w:val="none"/>
          <w:lang w:val="en-US" w:eastAsia="zh-CN"/>
        </w:rPr>
        <w:t>三</w:t>
      </w:r>
      <w:r>
        <w:rPr>
          <w:rFonts w:hint="eastAsia"/>
          <w:b/>
          <w:sz w:val="24"/>
          <w:highlight w:val="none"/>
        </w:rPr>
        <w:t>）验收</w:t>
      </w:r>
      <w:bookmarkEnd w:id="4"/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both"/>
        <w:textAlignment w:val="auto"/>
        <w:rPr>
          <w:rFonts w:hint="eastAsia" w:ascii="宋体" w:hAnsi="宋体"/>
          <w:sz w:val="22"/>
          <w:szCs w:val="22"/>
          <w:highlight w:val="none"/>
        </w:rPr>
      </w:pPr>
      <w:r>
        <w:rPr>
          <w:rFonts w:hint="eastAsia" w:ascii="宋体" w:hAnsi="宋体"/>
          <w:sz w:val="22"/>
          <w:szCs w:val="22"/>
          <w:highlight w:val="none"/>
        </w:rPr>
        <w:t>中标人和招标人双方共同实施验收工作，结果和验收报告经双方确认后生效。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宋体"/>
          <w:b/>
          <w:sz w:val="24"/>
          <w:highlight w:val="none"/>
          <w:lang w:val="en-US" w:eastAsia="zh-CN"/>
        </w:rPr>
      </w:pPr>
      <w:r>
        <w:rPr>
          <w:rFonts w:hint="eastAsia" w:eastAsia="宋体"/>
          <w:b/>
          <w:sz w:val="24"/>
          <w:highlight w:val="none"/>
          <w:lang w:val="en-US" w:eastAsia="zh-CN"/>
        </w:rPr>
        <w:t>付款方式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both"/>
        <w:textAlignment w:val="auto"/>
        <w:rPr>
          <w:rFonts w:hint="default" w:ascii="Calibri" w:hAnsi="宋体" w:eastAsia="宋体" w:cs="Times New Roman"/>
          <w:kern w:val="2"/>
          <w:sz w:val="22"/>
          <w:szCs w:val="22"/>
          <w:highlight w:val="none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2"/>
          <w:szCs w:val="22"/>
          <w:highlight w:val="none"/>
          <w:lang w:val="en-US" w:eastAsia="zh-CN" w:bidi="ar-SA"/>
        </w:rPr>
        <w:t>1、货款支付：按买方需求分批次供货，在买方接收货物后</w:t>
      </w:r>
      <w:r>
        <w:rPr>
          <w:rFonts w:hint="eastAsia" w:ascii="Calibri" w:hAnsi="宋体" w:cs="Times New Roman"/>
          <w:kern w:val="2"/>
          <w:sz w:val="22"/>
          <w:szCs w:val="22"/>
          <w:highlight w:val="none"/>
          <w:lang w:val="en-US" w:eastAsia="zh-CN" w:bidi="ar-SA"/>
        </w:rPr>
        <w:t>次月</w:t>
      </w:r>
      <w:r>
        <w:rPr>
          <w:rFonts w:hint="eastAsia" w:ascii="Calibri" w:hAnsi="宋体" w:eastAsia="宋体" w:cs="Times New Roman"/>
          <w:kern w:val="2"/>
          <w:sz w:val="22"/>
          <w:szCs w:val="22"/>
          <w:highlight w:val="none"/>
          <w:lang w:val="en-US" w:eastAsia="zh-CN" w:bidi="ar-SA"/>
        </w:rPr>
        <w:t>1</w:t>
      </w:r>
      <w:r>
        <w:rPr>
          <w:rFonts w:hint="eastAsia" w:ascii="Calibri" w:hAnsi="宋体" w:cs="Times New Roman"/>
          <w:kern w:val="2"/>
          <w:sz w:val="22"/>
          <w:szCs w:val="22"/>
          <w:highlight w:val="none"/>
          <w:lang w:val="en-US" w:eastAsia="zh-CN" w:bidi="ar-SA"/>
        </w:rPr>
        <w:t>0</w:t>
      </w:r>
      <w:r>
        <w:rPr>
          <w:rFonts w:hint="eastAsia" w:ascii="Calibri" w:hAnsi="宋体" w:eastAsia="宋体" w:cs="Times New Roman"/>
          <w:kern w:val="2"/>
          <w:sz w:val="22"/>
          <w:szCs w:val="22"/>
          <w:highlight w:val="none"/>
          <w:lang w:val="en-US" w:eastAsia="zh-CN" w:bidi="ar-SA"/>
        </w:rPr>
        <w:t>日内付至本批次所供货物合同价款的95%，剩余价款待质保期满后一次性付清；</w:t>
      </w:r>
    </w:p>
    <w:p>
      <w:pPr>
        <w:spacing w:line="360" w:lineRule="auto"/>
        <w:ind w:firstLine="440" w:firstLineChars="200"/>
      </w:pPr>
      <w:r>
        <w:rPr>
          <w:rFonts w:hint="eastAsia" w:hAnsi="宋体"/>
          <w:sz w:val="22"/>
          <w:szCs w:val="22"/>
          <w:highlight w:val="none"/>
          <w:lang w:val="en-US" w:eastAsia="zh-CN"/>
        </w:rPr>
        <w:t>2、使用费支付：</w:t>
      </w:r>
      <w:r>
        <w:rPr>
          <w:rFonts w:hint="eastAsia"/>
          <w:spacing w:val="8"/>
          <w:szCs w:val="21"/>
          <w:highlight w:val="none"/>
          <w:lang w:val="en-US" w:eastAsia="zh-CN"/>
        </w:rPr>
        <w:t>自买方接收货物之日起按实际使用次数每月结算一次，结算的使用费在次月25日前由买</w:t>
      </w:r>
      <w:bookmarkStart w:id="5" w:name="_GoBack"/>
      <w:bookmarkEnd w:id="5"/>
      <w:r>
        <w:rPr>
          <w:rFonts w:hint="eastAsia"/>
          <w:spacing w:val="8"/>
          <w:szCs w:val="21"/>
          <w:highlight w:val="none"/>
          <w:lang w:val="en-US" w:eastAsia="zh-CN"/>
        </w:rPr>
        <w:t>方支付给卖方。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B18395"/>
    <w:multiLevelType w:val="singleLevel"/>
    <w:tmpl w:val="D6B18395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A351D5E"/>
    <w:multiLevelType w:val="singleLevel"/>
    <w:tmpl w:val="6A351D5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mZDIxNzNhYjU0YmQyZmUyYzBiZjljMDEwZTg3NWEifQ=="/>
  </w:docVars>
  <w:rsids>
    <w:rsidRoot w:val="4DEC5984"/>
    <w:rsid w:val="4DEC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100" w:after="100"/>
      <w:jc w:val="center"/>
      <w:outlineLvl w:val="0"/>
    </w:pPr>
    <w:rPr>
      <w:b/>
      <w:bCs/>
      <w:kern w:val="44"/>
      <w:sz w:val="32"/>
      <w:szCs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模板普通正文"/>
    <w:basedOn w:val="3"/>
    <w:qFormat/>
    <w:uiPriority w:val="0"/>
    <w:pPr>
      <w:spacing w:beforeLines="50" w:after="10"/>
      <w:ind w:firstLine="490" w:firstLineChars="175"/>
      <w:jc w:val="left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6">
    <w:name w:val="Plain Text"/>
    <w:basedOn w:val="1"/>
    <w:next w:val="1"/>
    <w:qFormat/>
    <w:uiPriority w:val="99"/>
    <w:rPr>
      <w:rFonts w:hint="eastAsia" w:ascii="宋体" w:hAnsi="Courier New" w:cs="Courier New"/>
      <w:szCs w:val="21"/>
    </w:rPr>
  </w:style>
  <w:style w:type="character" w:customStyle="1" w:styleId="9">
    <w:name w:val="font11"/>
    <w:basedOn w:val="8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0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2023-09-15T00:36:00Z</dcterms:created>
  <dc:creator>郭庆</dc:creator>
  <cp:lastModifiedBy>郭庆</cp:lastModifiedBy>
  <dcterms:modified xsi:type="dcterms:W3CDTF">2023-09-15T00:37:57Z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1E7B39A6874946FA958B521ED8C1AAA0_11</vt:lpwstr>
  </property>
</Properties>
</file>