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146" w:right="590" w:hanging="2957"/>
        <w:spacing w:before="114" w:line="262" w:lineRule="auto"/>
        <w:outlineLvl w:val="0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7"/>
        </w:rPr>
        <w:t>安庆市第二人民医院</w:t>
      </w:r>
      <w:r>
        <w:rPr>
          <w:rFonts w:ascii="SimHei" w:hAnsi="SimHei" w:eastAsia="SimHei" w:cs="SimHei"/>
          <w:sz w:val="35"/>
          <w:szCs w:val="35"/>
          <w:spacing w:val="-75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7"/>
        </w:rPr>
        <w:t>2024</w:t>
      </w:r>
      <w:r>
        <w:rPr>
          <w:rFonts w:ascii="SimHei" w:hAnsi="SimHei" w:eastAsia="SimHei" w:cs="SimHei"/>
          <w:sz w:val="35"/>
          <w:szCs w:val="35"/>
          <w:spacing w:val="-69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7"/>
        </w:rPr>
        <w:t>年一般公共预算</w:t>
      </w:r>
      <w:r>
        <w:rPr>
          <w:rFonts w:ascii="SimHei" w:hAnsi="SimHei" w:eastAsia="SimHei" w:cs="SimHei"/>
          <w:sz w:val="35"/>
          <w:szCs w:val="35"/>
          <w:spacing w:val="6"/>
        </w:rPr>
        <w:t>安排“三</w:t>
      </w:r>
      <w:r>
        <w:rPr>
          <w:rFonts w:ascii="SimHei" w:hAnsi="SimHei" w:eastAsia="SimHei" w:cs="SimHei"/>
          <w:sz w:val="35"/>
          <w:szCs w:val="35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7"/>
        </w:rPr>
        <w:t>公”经费情况</w:t>
      </w:r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1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pStyle w:val="BodyText"/>
        <w:ind w:left="6790" w:right="490" w:hanging="6074"/>
        <w:spacing w:before="101" w:line="377" w:lineRule="auto"/>
        <w:rPr/>
      </w:pPr>
      <w:r>
        <w:rPr>
          <w:rFonts w:ascii="SimHei" w:hAnsi="SimHei" w:eastAsia="SimHei" w:cs="SimHei"/>
          <w:spacing w:val="7"/>
        </w:rPr>
        <w:t>一、安庆市第二人民医院</w:t>
      </w:r>
      <w:r>
        <w:rPr>
          <w:rFonts w:ascii="SimHei" w:hAnsi="SimHei" w:eastAsia="SimHei" w:cs="SimHei"/>
          <w:spacing w:val="-57"/>
        </w:rPr>
        <w:t xml:space="preserve"> </w:t>
      </w:r>
      <w:r>
        <w:rPr>
          <w:rFonts w:ascii="SimHei" w:hAnsi="SimHei" w:eastAsia="SimHei" w:cs="SimHei"/>
          <w:spacing w:val="7"/>
        </w:rPr>
        <w:t>2024</w:t>
      </w:r>
      <w:r>
        <w:rPr>
          <w:rFonts w:ascii="SimHei" w:hAnsi="SimHei" w:eastAsia="SimHei" w:cs="SimHei"/>
          <w:spacing w:val="-61"/>
        </w:rPr>
        <w:t xml:space="preserve"> </w:t>
      </w:r>
      <w:r>
        <w:rPr>
          <w:rFonts w:ascii="SimHei" w:hAnsi="SimHei" w:eastAsia="SimHei" w:cs="SimHei"/>
          <w:spacing w:val="7"/>
        </w:rPr>
        <w:t>年“三公”经费预算表</w:t>
      </w:r>
      <w:r>
        <w:rPr>
          <w:rFonts w:ascii="SimHei" w:hAnsi="SimHei" w:eastAsia="SimHei" w:cs="SimHei"/>
        </w:rPr>
        <w:t xml:space="preserve">  </w:t>
      </w:r>
      <w:r>
        <w:rPr>
          <w:spacing w:val="4"/>
        </w:rPr>
        <w:t>单位：万元</w:t>
      </w:r>
    </w:p>
    <w:tbl>
      <w:tblPr>
        <w:tblStyle w:val="TableNormal"/>
        <w:tblW w:w="8788" w:type="dxa"/>
        <w:tblInd w:w="6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00"/>
        <w:gridCol w:w="1417"/>
        <w:gridCol w:w="886"/>
        <w:gridCol w:w="1663"/>
        <w:gridCol w:w="1723"/>
        <w:gridCol w:w="1399"/>
      </w:tblGrid>
      <w:tr>
        <w:trPr>
          <w:trHeight w:val="632" w:hRule="atLeast"/>
        </w:trPr>
        <w:tc>
          <w:tcPr>
            <w:tcW w:w="1700" w:type="dxa"/>
            <w:vAlign w:val="top"/>
            <w:vMerge w:val="restart"/>
            <w:tcBorders>
              <w:bottom w:val="nil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52" w:right="144" w:hanging="317"/>
              <w:spacing w:before="91" w:line="398" w:lineRule="auto"/>
              <w:rPr/>
            </w:pPr>
            <w:r>
              <w:rPr>
                <w:b/>
                <w:bCs/>
                <w:spacing w:val="-8"/>
              </w:rPr>
              <w:t>“三公</w:t>
            </w:r>
            <w:r>
              <w:rPr>
                <w:spacing w:val="-101"/>
              </w:rPr>
              <w:t xml:space="preserve"> </w:t>
            </w:r>
            <w:r>
              <w:rPr>
                <w:b/>
                <w:bCs/>
                <w:spacing w:val="-8"/>
              </w:rPr>
              <w:t>”经</w:t>
            </w:r>
            <w:r>
              <w:rPr/>
              <w:t xml:space="preserve"> </w:t>
            </w:r>
            <w:r>
              <w:rPr>
                <w:b/>
                <w:bCs/>
                <w:spacing w:val="-11"/>
              </w:rPr>
              <w:t>费合计</w:t>
            </w:r>
          </w:p>
        </w:tc>
        <w:tc>
          <w:tcPr>
            <w:tcW w:w="1417" w:type="dxa"/>
            <w:vAlign w:val="top"/>
            <w:vMerge w:val="restart"/>
            <w:tcBorders>
              <w:bottom w:val="nil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1" w:right="145" w:firstLine="13"/>
              <w:spacing w:before="91" w:line="398" w:lineRule="auto"/>
              <w:rPr/>
            </w:pPr>
            <w:r>
              <w:rPr>
                <w:b/>
                <w:bCs/>
                <w:spacing w:val="-11"/>
              </w:rPr>
              <w:t>因公出国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7"/>
              </w:rPr>
              <w:t>（境）费</w:t>
            </w:r>
          </w:p>
        </w:tc>
        <w:tc>
          <w:tcPr>
            <w:tcW w:w="4272" w:type="dxa"/>
            <w:vAlign w:val="top"/>
            <w:gridSpan w:val="3"/>
          </w:tcPr>
          <w:p>
            <w:pPr>
              <w:pStyle w:val="TableText"/>
              <w:ind w:left="749"/>
              <w:spacing w:before="176" w:line="220" w:lineRule="auto"/>
              <w:rPr/>
            </w:pPr>
            <w:r>
              <w:rPr>
                <w:b/>
                <w:bCs/>
                <w:spacing w:val="-4"/>
              </w:rPr>
              <w:t>公务用车购置及运行费</w:t>
            </w:r>
          </w:p>
        </w:tc>
        <w:tc>
          <w:tcPr>
            <w:tcW w:w="1399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6" w:right="275" w:firstLine="149"/>
              <w:spacing w:before="91" w:line="398" w:lineRule="auto"/>
              <w:rPr/>
            </w:pPr>
            <w:r>
              <w:rPr>
                <w:b/>
                <w:bCs/>
                <w:spacing w:val="-12"/>
              </w:rPr>
              <w:t>公务</w:t>
            </w:r>
            <w:r>
              <w:rPr/>
              <w:t xml:space="preserve">  </w:t>
            </w:r>
            <w:r>
              <w:rPr>
                <w:b/>
                <w:bCs/>
                <w:spacing w:val="-6"/>
              </w:rPr>
              <w:t>接待费</w:t>
            </w:r>
          </w:p>
        </w:tc>
      </w:tr>
      <w:tr>
        <w:trPr>
          <w:trHeight w:val="1250" w:hRule="atLeast"/>
        </w:trPr>
        <w:tc>
          <w:tcPr>
            <w:tcW w:w="170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6" w:type="dxa"/>
            <w:vAlign w:val="top"/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77"/>
              <w:spacing w:before="91" w:line="221" w:lineRule="auto"/>
              <w:rPr/>
            </w:pPr>
            <w:r>
              <w:rPr>
                <w:b/>
                <w:bCs/>
                <w:spacing w:val="-12"/>
              </w:rPr>
              <w:t>小计</w:t>
            </w:r>
          </w:p>
        </w:tc>
        <w:tc>
          <w:tcPr>
            <w:tcW w:w="1663" w:type="dxa"/>
            <w:vAlign w:val="top"/>
          </w:tcPr>
          <w:p>
            <w:pPr>
              <w:pStyle w:val="TableText"/>
              <w:ind w:left="416" w:right="266" w:hanging="128"/>
              <w:spacing w:before="172" w:line="352" w:lineRule="auto"/>
              <w:rPr/>
            </w:pPr>
            <w:r>
              <w:rPr>
                <w:b/>
                <w:bCs/>
                <w:spacing w:val="-8"/>
              </w:rPr>
              <w:t>公务用车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5"/>
              </w:rPr>
              <w:t>购置费</w:t>
            </w:r>
          </w:p>
        </w:tc>
        <w:tc>
          <w:tcPr>
            <w:tcW w:w="1723" w:type="dxa"/>
            <w:vAlign w:val="top"/>
          </w:tcPr>
          <w:p>
            <w:pPr>
              <w:pStyle w:val="TableText"/>
              <w:ind w:left="449" w:right="297" w:hanging="132"/>
              <w:spacing w:before="172" w:line="352" w:lineRule="auto"/>
              <w:rPr/>
            </w:pPr>
            <w:r>
              <w:rPr>
                <w:b/>
                <w:bCs/>
                <w:spacing w:val="-8"/>
              </w:rPr>
              <w:t>公务用车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-6"/>
              </w:rPr>
              <w:t>运行费</w:t>
            </w:r>
          </w:p>
        </w:tc>
        <w:tc>
          <w:tcPr>
            <w:tcW w:w="139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1700" w:type="dxa"/>
            <w:vAlign w:val="top"/>
          </w:tcPr>
          <w:p>
            <w:pPr>
              <w:pStyle w:val="TableText"/>
              <w:ind w:left="579"/>
              <w:spacing w:before="219" w:line="184" w:lineRule="auto"/>
              <w:rPr/>
            </w:pPr>
            <w:r>
              <w:rPr>
                <w:b/>
                <w:bCs/>
                <w:spacing w:val="-5"/>
              </w:rPr>
              <w:t>0.00</w:t>
            </w:r>
          </w:p>
        </w:tc>
        <w:tc>
          <w:tcPr>
            <w:tcW w:w="1417" w:type="dxa"/>
            <w:vAlign w:val="top"/>
          </w:tcPr>
          <w:p>
            <w:pPr>
              <w:ind w:left="469"/>
              <w:spacing w:before="223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3"/>
              </w:rPr>
              <w:t>0.00</w:t>
            </w:r>
          </w:p>
        </w:tc>
        <w:tc>
          <w:tcPr>
            <w:tcW w:w="886" w:type="dxa"/>
            <w:vAlign w:val="top"/>
          </w:tcPr>
          <w:p>
            <w:pPr>
              <w:ind w:left="204"/>
              <w:spacing w:before="223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3"/>
              </w:rPr>
              <w:t>0.00</w:t>
            </w:r>
          </w:p>
        </w:tc>
        <w:tc>
          <w:tcPr>
            <w:tcW w:w="1663" w:type="dxa"/>
            <w:vAlign w:val="top"/>
          </w:tcPr>
          <w:p>
            <w:pPr>
              <w:ind w:left="595"/>
              <w:spacing w:before="223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3"/>
              </w:rPr>
              <w:t>0.00</w:t>
            </w:r>
          </w:p>
        </w:tc>
        <w:tc>
          <w:tcPr>
            <w:tcW w:w="1723" w:type="dxa"/>
            <w:vAlign w:val="top"/>
          </w:tcPr>
          <w:p>
            <w:pPr>
              <w:ind w:left="626"/>
              <w:spacing w:before="223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3"/>
              </w:rPr>
              <w:t>0.00</w:t>
            </w:r>
          </w:p>
        </w:tc>
        <w:tc>
          <w:tcPr>
            <w:tcW w:w="1399" w:type="dxa"/>
            <w:vAlign w:val="top"/>
          </w:tcPr>
          <w:p>
            <w:pPr>
              <w:ind w:left="461"/>
              <w:spacing w:before="223" w:line="189" w:lineRule="auto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b/>
                <w:bCs/>
                <w:spacing w:val="-3"/>
              </w:rPr>
              <w:t>0.00</w:t>
            </w:r>
          </w:p>
        </w:tc>
      </w:tr>
    </w:tbl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716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</w:rPr>
        <w:t>二、2024</w:t>
      </w:r>
      <w:r>
        <w:rPr>
          <w:rFonts w:ascii="SimHei" w:hAnsi="SimHei" w:eastAsia="SimHei" w:cs="SimHei"/>
          <w:sz w:val="31"/>
          <w:szCs w:val="31"/>
          <w:spacing w:val="-46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7"/>
        </w:rPr>
        <w:t>年单位“三公”经费支出预算情况说明</w:t>
      </w:r>
    </w:p>
    <w:p>
      <w:pPr>
        <w:pStyle w:val="BodyText"/>
        <w:ind w:right="488" w:firstLine="705"/>
        <w:spacing w:before="321" w:line="365" w:lineRule="auto"/>
        <w:rPr/>
      </w:pPr>
      <w:r>
        <w:rPr>
          <w:rFonts w:ascii="Times New Roman" w:hAnsi="Times New Roman" w:eastAsia="Times New Roman" w:cs="Times New Roman"/>
          <w:spacing w:val="16"/>
        </w:rPr>
        <w:t>2024</w:t>
      </w:r>
      <w:r>
        <w:rPr>
          <w:rFonts w:ascii="Times New Roman" w:hAnsi="Times New Roman" w:eastAsia="Times New Roman" w:cs="Times New Roman"/>
          <w:spacing w:val="47"/>
        </w:rPr>
        <w:t xml:space="preserve"> </w:t>
      </w:r>
      <w:r>
        <w:rPr>
          <w:spacing w:val="16"/>
        </w:rPr>
        <w:t>年，安庆市第二人民医院一般公共预算财政拨款</w:t>
      </w:r>
      <w:r>
        <w:rPr/>
        <w:t xml:space="preserve"> </w:t>
      </w:r>
      <w:r>
        <w:rPr>
          <w:rFonts w:ascii="Times New Roman" w:hAnsi="Times New Roman" w:eastAsia="Times New Roman" w:cs="Times New Roman"/>
          <w:spacing w:val="6"/>
        </w:rPr>
        <w:t>“</w:t>
      </w:r>
      <w:r>
        <w:rPr>
          <w:rFonts w:ascii="Times New Roman" w:hAnsi="Times New Roman" w:eastAsia="Times New Roman" w:cs="Times New Roman"/>
          <w:spacing w:val="-34"/>
        </w:rPr>
        <w:t xml:space="preserve"> </w:t>
      </w:r>
      <w:r>
        <w:rPr>
          <w:spacing w:val="6"/>
        </w:rPr>
        <w:t>三公</w:t>
      </w:r>
      <w:r>
        <w:rPr>
          <w:rFonts w:ascii="Times New Roman" w:hAnsi="Times New Roman" w:eastAsia="Times New Roman" w:cs="Times New Roman"/>
          <w:spacing w:val="6"/>
        </w:rPr>
        <w:t>”</w:t>
      </w:r>
      <w:r>
        <w:rPr>
          <w:spacing w:val="6"/>
        </w:rPr>
        <w:t>经费支出预算</w:t>
      </w:r>
      <w:r>
        <w:rPr>
          <w:spacing w:val="-64"/>
        </w:rPr>
        <w:t xml:space="preserve"> </w:t>
      </w:r>
      <w:r>
        <w:rPr>
          <w:rFonts w:ascii="Times New Roman" w:hAnsi="Times New Roman" w:eastAsia="Times New Roman" w:cs="Times New Roman"/>
          <w:spacing w:val="6"/>
        </w:rPr>
        <w:t>0.00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6"/>
        </w:rPr>
        <w:t>万元，该项经费本年未安排、上年</w:t>
      </w:r>
      <w:r>
        <w:rPr/>
        <w:t xml:space="preserve"> </w:t>
      </w:r>
      <w:r>
        <w:rPr>
          <w:spacing w:val="-1"/>
        </w:rPr>
        <w:t>未安排、本年预算与上年持平。其中：因公出国（境）费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>0.00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5"/>
        </w:rPr>
        <w:t>万元，公务用车购置及运行费</w:t>
      </w:r>
      <w:r>
        <w:rPr>
          <w:spacing w:val="-40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0.00</w:t>
      </w:r>
      <w:r>
        <w:rPr>
          <w:rFonts w:ascii="Times New Roman" w:hAnsi="Times New Roman" w:eastAsia="Times New Roman" w:cs="Times New Roman"/>
          <w:spacing w:val="36"/>
          <w:w w:val="101"/>
        </w:rPr>
        <w:t xml:space="preserve"> </w:t>
      </w:r>
      <w:r>
        <w:rPr>
          <w:spacing w:val="15"/>
        </w:rPr>
        <w:t>万元，公务接待费</w:t>
      </w:r>
      <w:r>
        <w:rPr>
          <w:spacing w:val="-52"/>
        </w:rPr>
        <w:t xml:space="preserve"> </w:t>
      </w:r>
      <w:r>
        <w:rPr>
          <w:rFonts w:ascii="Times New Roman" w:hAnsi="Times New Roman" w:eastAsia="Times New Roman" w:cs="Times New Roman"/>
          <w:spacing w:val="15"/>
        </w:rPr>
        <w:t>0.00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spacing w:val="14"/>
        </w:rPr>
        <w:t>万元。具体情况如下：</w:t>
      </w:r>
    </w:p>
    <w:p>
      <w:pPr>
        <w:pStyle w:val="BodyText"/>
        <w:ind w:left="81" w:right="487" w:firstLine="642"/>
        <w:spacing w:before="215" w:line="363" w:lineRule="auto"/>
        <w:jc w:val="both"/>
        <w:rPr/>
      </w:pPr>
      <w:r>
        <w:rPr>
          <w:b/>
          <w:bCs/>
          <w:spacing w:val="7"/>
        </w:rPr>
        <w:t>（一）</w:t>
      </w:r>
      <w:r>
        <w:rPr>
          <w:spacing w:val="-75"/>
        </w:rPr>
        <w:t xml:space="preserve"> </w:t>
      </w:r>
      <w:r>
        <w:rPr>
          <w:b/>
          <w:bCs/>
          <w:spacing w:val="7"/>
        </w:rPr>
        <w:t>因公出国（境）费。</w:t>
      </w:r>
      <w:r>
        <w:rPr>
          <w:spacing w:val="7"/>
        </w:rPr>
        <w:t>支出预算</w:t>
      </w:r>
      <w:r>
        <w:rPr>
          <w:spacing w:val="-55"/>
        </w:rPr>
        <w:t xml:space="preserve"> </w:t>
      </w:r>
      <w:r>
        <w:rPr>
          <w:rFonts w:ascii="Times New Roman" w:hAnsi="Times New Roman" w:eastAsia="Times New Roman" w:cs="Times New Roman"/>
          <w:spacing w:val="7"/>
        </w:rPr>
        <w:t>0.00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7"/>
        </w:rPr>
        <w:t>万元</w:t>
      </w:r>
      <w:r>
        <w:rPr>
          <w:rFonts w:ascii="Times New Roman" w:hAnsi="Times New Roman" w:eastAsia="Times New Roman" w:cs="Times New Roman"/>
          <w:spacing w:val="7"/>
        </w:rPr>
        <w:t>,</w:t>
      </w:r>
      <w:r>
        <w:rPr>
          <w:spacing w:val="7"/>
        </w:rPr>
        <w:t>该</w:t>
      </w:r>
      <w:r>
        <w:rPr>
          <w:spacing w:val="6"/>
        </w:rPr>
        <w:t>项经</w:t>
      </w:r>
      <w:r>
        <w:rPr/>
        <w:t xml:space="preserve"> </w:t>
      </w:r>
      <w:r>
        <w:rPr>
          <w:spacing w:val="8"/>
        </w:rPr>
        <w:t>费本年未安排、上年未安排、本年预算与上年持平。原因主</w:t>
      </w:r>
      <w:r>
        <w:rPr>
          <w:spacing w:val="11"/>
        </w:rPr>
        <w:t xml:space="preserve"> </w:t>
      </w:r>
      <w:r>
        <w:rPr>
          <w:spacing w:val="8"/>
        </w:rPr>
        <w:t>要是单位一般公共预算未安排因公出国（境）费。经费使用</w:t>
      </w:r>
      <w:r>
        <w:rPr>
          <w:spacing w:val="11"/>
        </w:rPr>
        <w:t xml:space="preserve"> </w:t>
      </w:r>
      <w:r>
        <w:rPr>
          <w:spacing w:val="21"/>
        </w:rPr>
        <w:t>严格执行《安庆市市直党政机关因公临时出国经费管理办</w:t>
      </w:r>
    </w:p>
    <w:p>
      <w:pPr>
        <w:spacing w:line="363" w:lineRule="auto"/>
        <w:sectPr>
          <w:footerReference w:type="default" r:id="rId1"/>
          <w:pgSz w:w="11906" w:h="16839"/>
          <w:pgMar w:top="1431" w:right="1312" w:bottom="1353" w:left="1741" w:header="0" w:footer="1188" w:gutter="0"/>
        </w:sectPr>
        <w:rPr/>
      </w:pPr>
    </w:p>
    <w:p>
      <w:pPr>
        <w:pStyle w:val="BodyText"/>
        <w:ind w:left="67" w:hanging="22"/>
        <w:spacing w:before="163" w:line="355" w:lineRule="auto"/>
        <w:rPr/>
      </w:pPr>
      <w:r>
        <w:rPr>
          <w:spacing w:val="-12"/>
        </w:rPr>
        <w:t>法》（财行〔</w:t>
      </w:r>
      <w:r>
        <w:rPr>
          <w:rFonts w:ascii="Times New Roman" w:hAnsi="Times New Roman" w:eastAsia="Times New Roman" w:cs="Times New Roman"/>
          <w:spacing w:val="-12"/>
        </w:rPr>
        <w:t>2015</w:t>
      </w:r>
      <w:r>
        <w:rPr>
          <w:spacing w:val="-12"/>
        </w:rPr>
        <w:t>〕</w:t>
      </w:r>
      <w:r>
        <w:rPr>
          <w:rFonts w:ascii="Times New Roman" w:hAnsi="Times New Roman" w:eastAsia="Times New Roman" w:cs="Times New Roman"/>
          <w:spacing w:val="-12"/>
        </w:rPr>
        <w:t>508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-12"/>
        </w:rPr>
        <w:t>号）、《安庆市市直党政机关因公短期</w:t>
      </w:r>
      <w:r>
        <w:rPr/>
        <w:t xml:space="preserve"> </w:t>
      </w:r>
      <w:r>
        <w:rPr>
          <w:spacing w:val="-9"/>
        </w:rPr>
        <w:t>出国培训费用管理办法》（财行〔</w:t>
      </w:r>
      <w:r>
        <w:rPr>
          <w:rFonts w:ascii="Times New Roman" w:hAnsi="Times New Roman" w:eastAsia="Times New Roman" w:cs="Times New Roman"/>
          <w:spacing w:val="-9"/>
        </w:rPr>
        <w:t>2015</w:t>
      </w:r>
      <w:r>
        <w:rPr>
          <w:spacing w:val="-9"/>
        </w:rPr>
        <w:t>〕</w:t>
      </w:r>
      <w:r>
        <w:rPr>
          <w:rFonts w:ascii="Times New Roman" w:hAnsi="Times New Roman" w:eastAsia="Times New Roman" w:cs="Times New Roman"/>
          <w:spacing w:val="-9"/>
        </w:rPr>
        <w:t>509</w:t>
      </w:r>
      <w:r>
        <w:rPr>
          <w:rFonts w:ascii="Times New Roman" w:hAnsi="Times New Roman" w:eastAsia="Times New Roman" w:cs="Times New Roman"/>
          <w:spacing w:val="39"/>
        </w:rPr>
        <w:t xml:space="preserve"> </w:t>
      </w:r>
      <w:r>
        <w:rPr>
          <w:spacing w:val="-9"/>
        </w:rPr>
        <w:t>号）等相关规定。</w:t>
      </w:r>
    </w:p>
    <w:p>
      <w:pPr>
        <w:pStyle w:val="BodyText"/>
        <w:ind w:left="35" w:right="111" w:firstLine="645"/>
        <w:spacing w:before="108" w:line="350" w:lineRule="auto"/>
        <w:rPr/>
      </w:pPr>
      <w:r>
        <w:rPr>
          <w:b/>
          <w:bCs/>
          <w:spacing w:val="1"/>
        </w:rPr>
        <w:t>（二）公务用车购置及运行费。</w:t>
      </w:r>
      <w:r>
        <w:rPr>
          <w:spacing w:val="1"/>
        </w:rPr>
        <w:t>支出预算</w:t>
      </w:r>
      <w:r>
        <w:rPr>
          <w:spacing w:val="-57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0.00</w:t>
      </w:r>
      <w:r>
        <w:rPr>
          <w:rFonts w:ascii="Times New Roman" w:hAnsi="Times New Roman" w:eastAsia="Times New Roman" w:cs="Times New Roman"/>
          <w:spacing w:val="26"/>
          <w:w w:val="101"/>
        </w:rPr>
        <w:t xml:space="preserve"> </w:t>
      </w:r>
      <w:r>
        <w:rPr>
          <w:spacing w:val="1"/>
        </w:rPr>
        <w:t>万元，该</w:t>
      </w:r>
      <w:r>
        <w:rPr/>
        <w:t xml:space="preserve"> </w:t>
      </w:r>
      <w:r>
        <w:rPr>
          <w:spacing w:val="8"/>
        </w:rPr>
        <w:t>项经费本年未安排、上年未安排、本年预算与上年持平。其</w:t>
      </w:r>
      <w:r>
        <w:rPr>
          <w:spacing w:val="13"/>
        </w:rPr>
        <w:t xml:space="preserve"> </w:t>
      </w:r>
      <w:r>
        <w:rPr>
          <w:spacing w:val="3"/>
        </w:rPr>
        <w:t>中：公务用车运行费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0.00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3"/>
        </w:rPr>
        <w:t>万元，该项经费本年未安排、上年</w:t>
      </w:r>
      <w:r>
        <w:rPr/>
        <w:t xml:space="preserve"> </w:t>
      </w:r>
      <w:r>
        <w:rPr>
          <w:spacing w:val="8"/>
        </w:rPr>
        <w:t>未安排、本年预算与上年持平。原因主要是单位一般公共预</w:t>
      </w:r>
      <w:r>
        <w:rPr>
          <w:spacing w:val="16"/>
        </w:rPr>
        <w:t xml:space="preserve"> </w:t>
      </w:r>
      <w:r>
        <w:rPr>
          <w:spacing w:val="3"/>
        </w:rPr>
        <w:t>算未安排公务用车运行费；公务用车购置费</w:t>
      </w:r>
      <w:r>
        <w:rPr>
          <w:spacing w:val="-44"/>
        </w:rPr>
        <w:t xml:space="preserve"> </w:t>
      </w:r>
      <w:r>
        <w:rPr>
          <w:rFonts w:ascii="Times New Roman" w:hAnsi="Times New Roman" w:eastAsia="Times New Roman" w:cs="Times New Roman"/>
          <w:spacing w:val="3"/>
        </w:rPr>
        <w:t>0.00</w:t>
      </w:r>
      <w:r>
        <w:rPr>
          <w:rFonts w:ascii="Times New Roman" w:hAnsi="Times New Roman" w:eastAsia="Times New Roman" w:cs="Times New Roman"/>
          <w:spacing w:val="26"/>
        </w:rPr>
        <w:t xml:space="preserve"> </w:t>
      </w:r>
      <w:r>
        <w:rPr>
          <w:spacing w:val="3"/>
        </w:rPr>
        <w:t>万元，该项</w:t>
      </w:r>
      <w:r>
        <w:rPr/>
        <w:t xml:space="preserve"> </w:t>
      </w:r>
      <w:r>
        <w:rPr>
          <w:spacing w:val="8"/>
        </w:rPr>
        <w:t>经费本年未安排、上年未安排、本年预算与上年持平。原因</w:t>
      </w:r>
      <w:r>
        <w:rPr>
          <w:spacing w:val="13"/>
        </w:rPr>
        <w:t xml:space="preserve"> </w:t>
      </w:r>
      <w:r>
        <w:rPr>
          <w:spacing w:val="8"/>
        </w:rPr>
        <w:t>主要是单位一般公共预算未安排公务用车购置费。</w:t>
      </w:r>
    </w:p>
    <w:p>
      <w:pPr>
        <w:pStyle w:val="BodyText"/>
        <w:ind w:left="32" w:firstLine="648"/>
        <w:spacing w:before="243" w:line="342" w:lineRule="auto"/>
        <w:rPr/>
      </w:pPr>
      <w:r>
        <w:rPr>
          <w:b/>
          <w:bCs/>
          <w:spacing w:val="2"/>
        </w:rPr>
        <w:t>（三）公务接待费。</w:t>
      </w:r>
      <w:r>
        <w:rPr>
          <w:spacing w:val="2"/>
        </w:rPr>
        <w:t>支出预算</w:t>
      </w:r>
      <w:r>
        <w:rPr>
          <w:spacing w:val="-65"/>
        </w:rPr>
        <w:t xml:space="preserve"> </w:t>
      </w:r>
      <w:r>
        <w:rPr>
          <w:rFonts w:ascii="Times New Roman" w:hAnsi="Times New Roman" w:eastAsia="Times New Roman" w:cs="Times New Roman"/>
          <w:spacing w:val="2"/>
        </w:rPr>
        <w:t>0.00</w:t>
      </w:r>
      <w:r>
        <w:rPr>
          <w:rFonts w:ascii="Times New Roman" w:hAnsi="Times New Roman" w:eastAsia="Times New Roman" w:cs="Times New Roman"/>
          <w:spacing w:val="27"/>
        </w:rPr>
        <w:t xml:space="preserve"> </w:t>
      </w:r>
      <w:r>
        <w:rPr>
          <w:spacing w:val="2"/>
        </w:rPr>
        <w:t>万元，该项经费本年</w:t>
      </w:r>
      <w:r>
        <w:rPr/>
        <w:t xml:space="preserve"> </w:t>
      </w:r>
      <w:r>
        <w:rPr>
          <w:spacing w:val="8"/>
        </w:rPr>
        <w:t>未安排、上年未安排、本年预算与上年持平。原因主要是单</w:t>
      </w:r>
      <w:r>
        <w:rPr>
          <w:spacing w:val="18"/>
        </w:rPr>
        <w:t xml:space="preserve"> </w:t>
      </w:r>
      <w:r>
        <w:rPr>
          <w:spacing w:val="8"/>
        </w:rPr>
        <w:t>位一般公共预算未安排公务接待费经费。经费使用严格执行</w:t>
      </w:r>
      <w:r>
        <w:rPr>
          <w:spacing w:val="16"/>
        </w:rPr>
        <w:t xml:space="preserve"> </w:t>
      </w:r>
      <w:r>
        <w:rPr>
          <w:spacing w:val="8"/>
        </w:rPr>
        <w:t>《党政机关厉行节约反对浪费条例》、《安庆市市直机关公</w:t>
      </w:r>
      <w:r>
        <w:rPr>
          <w:spacing w:val="16"/>
        </w:rPr>
        <w:t xml:space="preserve"> </w:t>
      </w:r>
      <w:r>
        <w:rPr>
          <w:spacing w:val="-3"/>
        </w:rPr>
        <w:t>务接待费管理暂行办法》（财行〔</w:t>
      </w:r>
      <w:r>
        <w:rPr>
          <w:rFonts w:ascii="Times New Roman" w:hAnsi="Times New Roman" w:eastAsia="Times New Roman" w:cs="Times New Roman"/>
          <w:spacing w:val="-3"/>
        </w:rPr>
        <w:t>2015</w:t>
      </w:r>
      <w:r>
        <w:rPr>
          <w:spacing w:val="-3"/>
        </w:rPr>
        <w:t>〕</w:t>
      </w:r>
      <w:r>
        <w:rPr>
          <w:rFonts w:ascii="Times New Roman" w:hAnsi="Times New Roman" w:eastAsia="Times New Roman" w:cs="Times New Roman"/>
          <w:spacing w:val="-3"/>
        </w:rPr>
        <w:t>53</w:t>
      </w:r>
      <w:r>
        <w:rPr>
          <w:rFonts w:ascii="Times New Roman" w:hAnsi="Times New Roman" w:eastAsia="Times New Roman" w:cs="Times New Roman"/>
          <w:spacing w:val="40"/>
          <w:w w:val="101"/>
        </w:rPr>
        <w:t xml:space="preserve"> </w:t>
      </w:r>
      <w:r>
        <w:rPr>
          <w:spacing w:val="-3"/>
        </w:rPr>
        <w:t>号）等相关规定。</w:t>
      </w:r>
    </w:p>
    <w:sectPr>
      <w:footerReference w:type="default" r:id="rId2"/>
      <w:pgSz w:w="11906" w:h="16839"/>
      <w:pgMar w:top="1431" w:right="1688" w:bottom="1354" w:left="1785" w:header="0" w:footer="11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79"/>
      <w:spacing w:line="168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0"/>
      <w:spacing w:line="169" w:lineRule="auto"/>
      <w:rPr>
        <w:rFonts w:ascii="Calibri" w:hAnsi="Calibri" w:eastAsia="Calibri" w:cs="Calibri"/>
        <w:sz w:val="18"/>
        <w:szCs w:val="18"/>
      </w:rPr>
    </w:pPr>
    <w:r>
      <w:rPr>
        <w:rFonts w:ascii="Calibri" w:hAnsi="Calibri" w:eastAsia="Calibri" w:cs="Calibri"/>
        <w:sz w:val="18"/>
        <w:szCs w:val="18"/>
      </w:rPr>
      <w:t>2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1"/>
      <w:szCs w:val="3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文静</dc:creator>
  <dcterms:created xsi:type="dcterms:W3CDTF">2024-04-11T09:16:41Z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2024-04-17T10:15:58</vt:filetime>
  </property>
</Properties>
</file>