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hint="default" w:ascii="方正小标宋简体" w:hAnsi="华文中宋" w:eastAsia="方正小标宋简体"/>
          <w:bCs/>
          <w:spacing w:val="-4"/>
          <w:sz w:val="56"/>
          <w:szCs w:val="72"/>
          <w:u w:val="none"/>
          <w:lang w:val="en-US" w:eastAsia="zh-CN"/>
        </w:rPr>
      </w:pPr>
      <w:r>
        <w:rPr>
          <w:rFonts w:hint="eastAsia" w:ascii="方正小标宋简体" w:hAnsi="华文中宋" w:eastAsia="方正小标宋简体"/>
          <w:bCs/>
          <w:spacing w:val="-4"/>
          <w:sz w:val="56"/>
          <w:szCs w:val="72"/>
          <w:lang w:eastAsia="zh-CN"/>
        </w:rPr>
        <w:t>安</w:t>
      </w:r>
      <w:r>
        <w:rPr>
          <w:rFonts w:hint="eastAsia" w:ascii="方正小标宋简体" w:hAnsi="华文中宋" w:eastAsia="方正小标宋简体"/>
          <w:bCs/>
          <w:spacing w:val="-4"/>
          <w:sz w:val="56"/>
          <w:szCs w:val="72"/>
          <w:u w:val="none"/>
          <w:lang w:eastAsia="zh-CN"/>
        </w:rPr>
        <w:t>庆</w:t>
      </w:r>
      <w:r>
        <w:rPr>
          <w:rFonts w:hint="eastAsia" w:ascii="方正小标宋简体" w:hAnsi="华文中宋" w:eastAsia="方正小标宋简体"/>
          <w:bCs/>
          <w:spacing w:val="-4"/>
          <w:sz w:val="56"/>
          <w:szCs w:val="72"/>
          <w:u w:val="none"/>
        </w:rPr>
        <w:t>市</w:t>
      </w:r>
      <w:r>
        <w:rPr>
          <w:rFonts w:hint="eastAsia" w:ascii="方正小标宋简体" w:hAnsi="华文中宋" w:eastAsia="方正小标宋简体"/>
          <w:bCs/>
          <w:spacing w:val="-4"/>
          <w:sz w:val="56"/>
          <w:szCs w:val="72"/>
          <w:u w:val="none"/>
          <w:lang w:val="en-US" w:eastAsia="zh-CN"/>
        </w:rPr>
        <w:t>第二人民医院</w:t>
      </w:r>
    </w:p>
    <w:p>
      <w:pPr>
        <w:tabs>
          <w:tab w:val="left" w:pos="1339"/>
        </w:tabs>
        <w:jc w:val="center"/>
        <w:rPr>
          <w:rFonts w:ascii="方正小标宋简体" w:hAnsi="华文中宋" w:eastAsia="方正小标宋简体"/>
          <w:bCs/>
          <w:spacing w:val="-4"/>
          <w:sz w:val="56"/>
          <w:szCs w:val="72"/>
          <w:u w:val="none"/>
        </w:rPr>
      </w:pPr>
      <w:r>
        <w:rPr>
          <w:rFonts w:hint="eastAsia" w:ascii="方正小标宋简体" w:hAnsi="华文中宋" w:eastAsia="方正小标宋简体"/>
          <w:bCs/>
          <w:spacing w:val="-4"/>
          <w:sz w:val="56"/>
          <w:szCs w:val="72"/>
          <w:u w:val="none"/>
        </w:rPr>
        <w:t>202</w:t>
      </w:r>
      <w:r>
        <w:rPr>
          <w:rFonts w:hint="eastAsia" w:ascii="方正小标宋简体" w:hAnsi="华文中宋" w:eastAsia="方正小标宋简体"/>
          <w:bCs/>
          <w:spacing w:val="-4"/>
          <w:sz w:val="56"/>
          <w:szCs w:val="72"/>
          <w:u w:val="none"/>
          <w:lang w:val="en-US" w:eastAsia="zh-CN"/>
        </w:rPr>
        <w:t>5</w:t>
      </w:r>
      <w:r>
        <w:rPr>
          <w:rFonts w:hint="eastAsia" w:ascii="方正小标宋简体" w:hAnsi="华文中宋" w:eastAsia="方正小标宋简体"/>
          <w:bCs/>
          <w:spacing w:val="-4"/>
          <w:sz w:val="56"/>
          <w:szCs w:val="72"/>
          <w:u w:val="none"/>
        </w:rPr>
        <w:t>年</w:t>
      </w:r>
      <w:r>
        <w:rPr>
          <w:rFonts w:hint="eastAsia" w:ascii="方正小标宋简体" w:hAnsi="华文中宋" w:eastAsia="方正小标宋简体"/>
          <w:bCs/>
          <w:spacing w:val="-4"/>
          <w:sz w:val="56"/>
          <w:szCs w:val="72"/>
          <w:u w:val="none"/>
          <w:lang w:val="en-US" w:eastAsia="zh-CN"/>
        </w:rPr>
        <w:t>单位</w:t>
      </w:r>
      <w:r>
        <w:rPr>
          <w:rFonts w:hint="eastAsia" w:ascii="方正小标宋简体" w:hAnsi="华文中宋" w:eastAsia="方正小标宋简体"/>
          <w:bCs/>
          <w:spacing w:val="-4"/>
          <w:sz w:val="56"/>
          <w:szCs w:val="72"/>
          <w:u w:val="none"/>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方正小标宋简体" w:hAnsi="仿宋" w:eastAsia="方正小标宋简体"/>
          <w:sz w:val="44"/>
          <w:szCs w:val="44"/>
        </w:rPr>
      </w:pPr>
      <w:r>
        <w:rPr>
          <w:rFonts w:hint="eastAsia" w:ascii="黑体" w:hAnsi="黑体" w:eastAsia="黑体"/>
          <w:bCs/>
          <w:spacing w:val="-4"/>
          <w:sz w:val="44"/>
          <w:szCs w:val="44"/>
        </w:rPr>
        <w:t>2</w:t>
      </w:r>
      <w:r>
        <w:rPr>
          <w:rFonts w:ascii="黑体" w:hAnsi="黑体" w:eastAsia="黑体"/>
          <w:bCs/>
          <w:spacing w:val="-4"/>
          <w:sz w:val="44"/>
          <w:szCs w:val="44"/>
        </w:rPr>
        <w:t>02</w:t>
      </w:r>
      <w:r>
        <w:rPr>
          <w:rFonts w:hint="eastAsia" w:ascii="黑体" w:hAnsi="黑体" w:eastAsia="黑体"/>
          <w:bCs/>
          <w:spacing w:val="-4"/>
          <w:sz w:val="44"/>
          <w:szCs w:val="44"/>
          <w:lang w:val="en-US" w:eastAsia="zh-CN"/>
        </w:rPr>
        <w:t>5</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u w:val="none"/>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预算构</w:t>
      </w:r>
      <w:r>
        <w:rPr>
          <w:rFonts w:ascii="Times New Roman" w:hAnsi="Times New Roman" w:eastAsia="仿宋_GB2312"/>
          <w:color w:val="000000" w:themeColor="text1"/>
          <w:sz w:val="32"/>
          <w:szCs w:val="32"/>
          <w14:textFill>
            <w14:solidFill>
              <w14:schemeClr w14:val="tx1"/>
            </w14:solidFill>
          </w14:textFill>
        </w:rPr>
        <w:t>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lang w:eastAsia="zh-CN"/>
          <w14:textFill>
            <w14:solidFill>
              <w14:schemeClr w14:val="tx1"/>
            </w14:solidFill>
          </w14:textFill>
        </w:rPr>
        <w:t>2025</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w:t>
      </w:r>
      <w:r>
        <w:rPr>
          <w:rFonts w:ascii="Times New Roman" w:hAnsi="Times New Roman" w:eastAsia="仿宋_GB2312"/>
          <w:color w:val="000000" w:themeColor="text1"/>
          <w:sz w:val="32"/>
          <w:szCs w:val="32"/>
          <w14:textFill>
            <w14:solidFill>
              <w14:schemeClr w14:val="tx1"/>
            </w14:solidFill>
          </w14:textFill>
        </w:rPr>
        <w:t>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收入总表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财政拨款收支总表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政府性基金预算支出表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国有资本经营预算支出表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基本支出总表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年项目</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政府采购支出表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政府购买服务支出表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13.安庆市第二人民医院2025年项目支出绩效目标表</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lang w:eastAsia="zh-CN"/>
          <w14:textFill>
            <w14:solidFill>
              <w14:schemeClr w14:val="tx1"/>
            </w14:solidFill>
          </w14:textFill>
        </w:rPr>
        <w:t>2025</w:t>
      </w:r>
      <w:r>
        <w:rPr>
          <w:rFonts w:hint="eastAsia" w:ascii="Times New Roman" w:hAnsi="Times New Roman" w:eastAsia="仿宋_GB2312"/>
          <w:b/>
          <w:color w:val="000000" w:themeColor="text1"/>
          <w:sz w:val="32"/>
          <w:szCs w:val="32"/>
          <w14:textFill>
            <w14:solidFill>
              <w14:schemeClr w14:val="tx1"/>
            </w14:solidFill>
          </w14:textFill>
        </w:rPr>
        <w:t>年</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预算</w:t>
      </w:r>
      <w:r>
        <w:rPr>
          <w:rFonts w:ascii="Times New Roman" w:hAnsi="Times New Roman" w:eastAsia="仿宋_GB2312"/>
          <w:b/>
          <w:color w:val="000000" w:themeColor="text1"/>
          <w:sz w:val="32"/>
          <w:szCs w:val="32"/>
          <w14:textFill>
            <w14:solidFill>
              <w14:schemeClr w14:val="tx1"/>
            </w14:solidFill>
          </w14:textFill>
        </w:rPr>
        <w:t>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年收入总表的说明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年支出总表的说明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年财政拨款收支总表的说明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年项目支出表的说明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年政府采购支出表的说明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年政府购买服务支出表的说明</w:t>
      </w:r>
    </w:p>
    <w:p>
      <w:pPr>
        <w:spacing w:line="560" w:lineRule="exact"/>
        <w:ind w:firstLine="563" w:firstLineChars="176"/>
        <w:jc w:val="left"/>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.其他重要事项情况说明</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ascii="Times New Roman" w:hAnsi="Times New Roman" w:eastAsia="黑体"/>
          <w:color w:val="000000" w:themeColor="text1"/>
          <w:sz w:val="36"/>
          <w:szCs w:val="36"/>
          <w:u w:val="none"/>
          <w14:textFill>
            <w14:solidFill>
              <w14:schemeClr w14:val="tx1"/>
            </w14:solidFill>
          </w14:textFill>
        </w:rPr>
        <w:t xml:space="preserve"> </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概</w:t>
      </w:r>
      <w:r>
        <w:rPr>
          <w:rFonts w:ascii="Times New Roman" w:hAnsi="Times New Roman" w:eastAsia="黑体"/>
          <w:color w:val="000000" w:themeColor="text1"/>
          <w:sz w:val="36"/>
          <w:szCs w:val="36"/>
          <w14:textFill>
            <w14:solidFill>
              <w14:schemeClr w14:val="tx1"/>
            </w14:solidFill>
          </w14:textFill>
        </w:rPr>
        <w:t>况</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pStyle w:val="6"/>
        <w:shd w:val="clear" w:color="auto" w:fill="FFFFFF"/>
        <w:spacing w:before="0" w:beforeAutospacing="0" w:after="0" w:afterAutospacing="0" w:line="368" w:lineRule="atLeast"/>
        <w:ind w:left="150" w:right="150" w:firstLine="631" w:firstLineChars="188"/>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（一）贯彻落实新时期我国卫生与健康工作方针，坚持公益性，保障人民群众健康，推动医院各方面工作健康发展。</w:t>
      </w:r>
    </w:p>
    <w:p>
      <w:pPr>
        <w:pStyle w:val="6"/>
        <w:shd w:val="clear" w:color="auto" w:fill="FFFFFF"/>
        <w:spacing w:before="0" w:beforeAutospacing="0" w:after="0" w:afterAutospacing="0" w:line="368" w:lineRule="atLeast"/>
        <w:ind w:left="150" w:right="150" w:firstLine="470" w:firstLineChars="14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（二）为人民群众提供医疗保健、疾病预防、健康教育、健康科普等医疗和一定的公共卫生服务。</w:t>
      </w:r>
    </w:p>
    <w:p>
      <w:pPr>
        <w:pStyle w:val="6"/>
        <w:shd w:val="clear" w:color="auto" w:fill="FFFFFF"/>
        <w:spacing w:before="0" w:beforeAutospacing="0" w:after="0" w:afterAutospacing="0" w:line="368" w:lineRule="atLeast"/>
        <w:ind w:right="150" w:firstLine="336" w:firstLineChars="10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三</w:t>
      </w:r>
      <w:r>
        <w:rPr>
          <w:rFonts w:hint="eastAsia" w:ascii="仿宋" w:hAnsi="仿宋" w:eastAsia="仿宋"/>
          <w:bCs/>
          <w:color w:val="auto"/>
          <w:spacing w:val="8"/>
          <w:sz w:val="32"/>
          <w:szCs w:val="32"/>
          <w:shd w:val="clear" w:color="auto" w:fill="FFFFFF"/>
        </w:rPr>
        <w:t>）按照党和政府、有关部门批准的范围开展医疗服务，承担重大活动医疗保障任务，承担突发公共事件的医疗卫生救助。</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四</w:t>
      </w:r>
      <w:r>
        <w:rPr>
          <w:rFonts w:hint="eastAsia" w:ascii="仿宋" w:hAnsi="仿宋" w:eastAsia="仿宋"/>
          <w:bCs/>
          <w:color w:val="auto"/>
          <w:spacing w:val="8"/>
          <w:sz w:val="32"/>
          <w:szCs w:val="32"/>
          <w:shd w:val="clear" w:color="auto" w:fill="FFFFFF"/>
        </w:rPr>
        <w:t>）根据规划和需求，经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有关部门批准，可与社会力量合作举办新的非营利性医疗机构或在人才、管理、服务、技术、品牌等方面建立协议合作关系。</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五</w:t>
      </w:r>
      <w:r>
        <w:rPr>
          <w:rFonts w:hint="eastAsia" w:ascii="仿宋" w:hAnsi="仿宋" w:eastAsia="仿宋"/>
          <w:bCs/>
          <w:color w:val="auto"/>
          <w:spacing w:val="8"/>
          <w:sz w:val="32"/>
          <w:szCs w:val="32"/>
          <w:shd w:val="clear" w:color="auto" w:fill="FFFFFF"/>
        </w:rPr>
        <w:t>）经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有关部门批准，与相关医疗机构组成医联体或医共体，推动形成基层首诊、双向转诊、急慢分治、上下联动的分级诊疗模式。</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六</w:t>
      </w:r>
      <w:r>
        <w:rPr>
          <w:rFonts w:hint="eastAsia" w:ascii="仿宋" w:hAnsi="仿宋" w:eastAsia="仿宋"/>
          <w:bCs/>
          <w:color w:val="auto"/>
          <w:spacing w:val="8"/>
          <w:sz w:val="32"/>
          <w:szCs w:val="32"/>
          <w:shd w:val="clear" w:color="auto" w:fill="FFFFFF"/>
        </w:rPr>
        <w:t>）医院的业务范围以安庆市事业单位登记管理局登记的业务范围和安庆市市卫生健康委核发的医疗机构执业许可证</w:t>
      </w:r>
      <w:r>
        <w:rPr>
          <w:rFonts w:hint="eastAsia" w:ascii="仿宋" w:hAnsi="仿宋" w:eastAsia="仿宋"/>
          <w:b w:val="0"/>
          <w:bCs/>
          <w:color w:val="auto"/>
          <w:spacing w:val="8"/>
          <w:sz w:val="32"/>
          <w:szCs w:val="32"/>
          <w:highlight w:val="none"/>
          <w:shd w:val="clear" w:color="auto" w:fill="FFFFFF"/>
        </w:rPr>
        <w:t>登记内容为准。医院在登记的业务范围内从事活动，一切活动遵守国家有关法律、法规和部门规章，不受任何机关、团体、个人侵犯或非法干涉。</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七</w:t>
      </w:r>
      <w:r>
        <w:rPr>
          <w:rFonts w:hint="eastAsia" w:ascii="仿宋" w:hAnsi="仿宋" w:eastAsia="仿宋"/>
          <w:b w:val="0"/>
          <w:bCs/>
          <w:color w:val="auto"/>
          <w:spacing w:val="8"/>
          <w:sz w:val="32"/>
          <w:szCs w:val="32"/>
          <w:highlight w:val="none"/>
          <w:shd w:val="clear" w:color="auto" w:fill="FFFFFF"/>
        </w:rPr>
        <w:t>）坚持依法治院，建立医疗机构依法决策、依法管理、依法执业机制，健全医院法治工作制度、合规性审查制度和法律顾问制度，推动医院内部治理现代化。</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八</w:t>
      </w:r>
      <w:r>
        <w:rPr>
          <w:rFonts w:hint="eastAsia" w:ascii="仿宋" w:hAnsi="仿宋" w:eastAsia="仿宋"/>
          <w:b w:val="0"/>
          <w:bCs/>
          <w:color w:val="auto"/>
          <w:spacing w:val="8"/>
          <w:sz w:val="32"/>
          <w:szCs w:val="32"/>
          <w:highlight w:val="none"/>
          <w:shd w:val="clear" w:color="auto" w:fill="FFFFFF"/>
        </w:rPr>
        <w:t>）医院依法依规行使内部人事管理、机构设置、资源配置、中层干部聘任、人员招聘和人才引进、内部绩效考核与薪酬分配、年度预算执行等运营管理自主权。</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九</w:t>
      </w:r>
      <w:r>
        <w:rPr>
          <w:rFonts w:hint="eastAsia" w:ascii="仿宋" w:hAnsi="仿宋" w:eastAsia="仿宋"/>
          <w:b w:val="0"/>
          <w:bCs/>
          <w:color w:val="auto"/>
          <w:spacing w:val="8"/>
          <w:sz w:val="32"/>
          <w:szCs w:val="32"/>
          <w:highlight w:val="none"/>
          <w:shd w:val="clear" w:color="auto" w:fill="FFFFFF"/>
        </w:rPr>
        <w:t>）医院接受上级党委和政府有关部门的业务指导和监督管理，接受审计、财政、价格、医保、卫生健康等政府部门及党和政府的监督，保证医院日常执业行为及财务收支状况的健康运行。</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（十）医院主动接受社会监督和舆论监督。建立健全第三方满意度评价机制，建立完善的监督评价体系；依法实行院务公开，真实、完整、及时地公布服务信息，主动接受社会评价和监督。</w:t>
      </w:r>
    </w:p>
    <w:p>
      <w:pPr>
        <w:pStyle w:val="6"/>
        <w:shd w:val="clear" w:color="auto" w:fill="FFFFFF"/>
        <w:spacing w:before="0" w:beforeAutospacing="0" w:after="0" w:afterAutospacing="0" w:line="368" w:lineRule="atLeast"/>
        <w:ind w:left="150" w:right="150"/>
        <w:jc w:val="both"/>
        <w:rPr>
          <w:rFonts w:hint="eastAsia" w:ascii="仿宋" w:hAnsi="仿宋" w:eastAsia="仿宋"/>
          <w:bCs/>
          <w:color w:val="FF0000"/>
          <w:spacing w:val="8"/>
          <w:sz w:val="28"/>
          <w:szCs w:val="28"/>
          <w:lang w:eastAsia="zh-CN"/>
        </w:rPr>
      </w:pPr>
      <w:r>
        <w:rPr>
          <w:rFonts w:hint="eastAsia" w:ascii="仿宋" w:hAnsi="仿宋" w:eastAsia="仿宋"/>
          <w:b w:val="0"/>
          <w:bCs/>
          <w:color w:val="auto"/>
          <w:spacing w:val="8"/>
          <w:sz w:val="32"/>
          <w:szCs w:val="32"/>
          <w:highlight w:val="none"/>
          <w:shd w:val="clear" w:color="auto" w:fill="FFFFFF"/>
        </w:rPr>
        <w:t xml:space="preserve">   （十</w:t>
      </w:r>
      <w:r>
        <w:rPr>
          <w:rFonts w:hint="eastAsia" w:ascii="仿宋" w:hAnsi="仿宋" w:eastAsia="仿宋"/>
          <w:b w:val="0"/>
          <w:bCs/>
          <w:color w:val="auto"/>
          <w:spacing w:val="8"/>
          <w:sz w:val="32"/>
          <w:szCs w:val="32"/>
          <w:highlight w:val="none"/>
          <w:shd w:val="clear" w:color="auto" w:fill="FFFFFF"/>
          <w:lang w:val="en-US" w:eastAsia="zh-CN"/>
        </w:rPr>
        <w:t>一</w:t>
      </w:r>
      <w:r>
        <w:rPr>
          <w:rFonts w:hint="eastAsia" w:ascii="仿宋" w:hAnsi="仿宋" w:eastAsia="仿宋"/>
          <w:b w:val="0"/>
          <w:bCs/>
          <w:color w:val="auto"/>
          <w:spacing w:val="8"/>
          <w:sz w:val="32"/>
          <w:szCs w:val="32"/>
          <w:highlight w:val="none"/>
          <w:shd w:val="clear" w:color="auto" w:fill="FFFFFF"/>
        </w:rPr>
        <w:t>）承担上级党委和政府交办的其他事项。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14:textFill>
            <w14:solidFill>
              <w14:schemeClr w14:val="tx1"/>
            </w14:solidFill>
          </w14:textFill>
        </w:rPr>
        <w:t>单位</w:t>
      </w:r>
      <w:r>
        <w:rPr>
          <w:rFonts w:ascii="Times New Roman" w:hAnsi="Times New Roman" w:eastAsia="黑体"/>
          <w:color w:val="000000" w:themeColor="text1"/>
          <w:sz w:val="32"/>
          <w:szCs w:val="32"/>
          <w:u w:val="none"/>
          <w14:textFill>
            <w14:solidFill>
              <w14:schemeClr w14:val="tx1"/>
            </w14:solidFill>
          </w14:textFill>
        </w:rPr>
        <w:t>预</w:t>
      </w:r>
      <w:r>
        <w:rPr>
          <w:rFonts w:ascii="Times New Roman" w:hAnsi="Times New Roman" w:eastAsia="黑体"/>
          <w:color w:val="000000" w:themeColor="text1"/>
          <w:sz w:val="32"/>
          <w:szCs w:val="32"/>
          <w14:textFill>
            <w14:solidFill>
              <w14:schemeClr w14:val="tx1"/>
            </w14:solidFill>
          </w14:textFill>
        </w:rPr>
        <w:t>算构成</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单位性质为</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事业</w:t>
      </w:r>
      <w:r>
        <w:rPr>
          <w:rFonts w:ascii="Times New Roman" w:hAnsi="Times New Roman" w:eastAsia="仿宋_GB2312"/>
          <w:color w:val="000000" w:themeColor="text1"/>
          <w:sz w:val="32"/>
          <w:szCs w:val="32"/>
          <w:u w:val="none"/>
          <w14:textFill>
            <w14:solidFill>
              <w14:schemeClr w14:val="tx1"/>
            </w14:solidFill>
          </w14:textFill>
        </w:rPr>
        <w:t>单位。截至</w:t>
      </w:r>
      <w:r>
        <w:rPr>
          <w:rFonts w:hint="eastAsia" w:ascii="Times New Roman" w:hAnsi="Times New Roman" w:eastAsia="仿宋_GB2312"/>
          <w:color w:val="000000" w:themeColor="text1"/>
          <w:sz w:val="32"/>
          <w:szCs w:val="32"/>
          <w:u w:val="none"/>
          <w14:textFill>
            <w14:solidFill>
              <w14:schemeClr w14:val="tx1"/>
            </w14:solidFill>
          </w14:textFill>
        </w:rPr>
        <w:t>202</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12月，</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实</w:t>
      </w:r>
      <w:r>
        <w:rPr>
          <w:rFonts w:ascii="Times New Roman" w:hAnsi="Times New Roman" w:eastAsia="仿宋_GB2312"/>
          <w:color w:val="000000" w:themeColor="text1"/>
          <w:sz w:val="32"/>
          <w:szCs w:val="32"/>
          <w14:textFill>
            <w14:solidFill>
              <w14:schemeClr w14:val="tx1"/>
            </w14:solidFill>
          </w14:textFill>
        </w:rPr>
        <w:t>有各类人</w:t>
      </w:r>
      <w:r>
        <w:rPr>
          <w:rFonts w:ascii="Times New Roman" w:hAnsi="Times New Roman" w:eastAsia="仿宋_GB2312"/>
          <w:color w:val="000000" w:themeColor="text1"/>
          <w:sz w:val="32"/>
          <w:szCs w:val="32"/>
          <w:u w:val="none"/>
          <w14:textFill>
            <w14:solidFill>
              <w14:schemeClr w14:val="tx1"/>
            </w14:solidFill>
          </w14:textFill>
        </w:rPr>
        <w:t>员</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1034</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，其中在</w:t>
      </w:r>
      <w:r>
        <w:rPr>
          <w:rFonts w:ascii="Times New Roman" w:hAnsi="Times New Roman" w:eastAsia="仿宋_GB2312"/>
          <w:color w:val="000000" w:themeColor="text1"/>
          <w:sz w:val="32"/>
          <w:szCs w:val="32"/>
          <w:u w:val="none"/>
          <w14:textFill>
            <w14:solidFill>
              <w14:schemeClr w14:val="tx1"/>
            </w14:solidFill>
          </w14:textFill>
        </w:rPr>
        <w:t>职</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707</w:t>
      </w:r>
      <w:r>
        <w:rPr>
          <w:rFonts w:ascii="Times New Roman" w:hAnsi="Times New Roman" w:eastAsia="仿宋_GB2312"/>
          <w:color w:val="000000" w:themeColor="text1"/>
          <w:sz w:val="32"/>
          <w:szCs w:val="32"/>
          <w14:textFill>
            <w14:solidFill>
              <w14:schemeClr w14:val="tx1"/>
            </w14:solidFill>
          </w14:textFill>
        </w:rPr>
        <w:t>人、</w:t>
      </w:r>
      <w:r>
        <w:rPr>
          <w:rFonts w:ascii="Times New Roman" w:hAnsi="Times New Roman" w:eastAsia="仿宋_GB2312"/>
          <w:color w:val="000000" w:themeColor="text1"/>
          <w:sz w:val="32"/>
          <w:szCs w:val="32"/>
          <w:u w:val="none"/>
          <w14:textFill>
            <w14:solidFill>
              <w14:schemeClr w14:val="tx1"/>
            </w14:solidFill>
          </w14:textFill>
        </w:rPr>
        <w:t>离休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、退休</w:t>
      </w:r>
      <w:r>
        <w:rPr>
          <w:rFonts w:hint="eastAsia" w:ascii="Times New Roman" w:hAnsi="Times New Roman" w:eastAsia="仿宋_GB2312"/>
          <w:color w:val="000000" w:themeColor="text1"/>
          <w:sz w:val="32"/>
          <w:szCs w:val="32"/>
          <w:lang w:val="en-US" w:eastAsia="zh-CN"/>
          <w14:textFill>
            <w14:solidFill>
              <w14:schemeClr w14:val="tx1"/>
            </w14:solidFill>
          </w14:textFill>
        </w:rPr>
        <w:t>325</w:t>
      </w:r>
      <w:r>
        <w:rPr>
          <w:rFonts w:ascii="Times New Roman" w:hAnsi="Times New Roman" w:eastAsia="仿宋_GB2312"/>
          <w:color w:val="000000" w:themeColor="text1"/>
          <w:sz w:val="32"/>
          <w:szCs w:val="32"/>
          <w14:textFill>
            <w14:solidFill>
              <w14:schemeClr w14:val="tx1"/>
            </w14:solidFill>
          </w14:textFill>
        </w:rPr>
        <w:t>人。</w:t>
      </w:r>
    </w:p>
    <w:p>
      <w:pPr>
        <w:spacing w:line="560" w:lineRule="exact"/>
        <w:ind w:firstLine="640" w:firstLineChars="200"/>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度主要工作任务</w:t>
      </w:r>
    </w:p>
    <w:p>
      <w:pPr>
        <w:spacing w:line="560" w:lineRule="exact"/>
        <w:ind w:firstLine="640" w:firstLineChars="200"/>
        <w:rPr>
          <w:rFonts w:hint="eastAsia" w:ascii="Times New Roman" w:hAnsi="Times New Roman" w:eastAsia="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1. 优化医疗服务：改善就医流程，设立一站式服务中心，集中办理缴费、报告打印、医保咨询等业务。同时，建立医疗质量持续改进机制，定期开展医疗质量检查与评估，加强重点环节和关键岗位的风险防控，规范诊疗行为，保障患者安全。</w:t>
      </w:r>
    </w:p>
    <w:p>
      <w:pPr>
        <w:spacing w:line="560" w:lineRule="exact"/>
        <w:ind w:firstLine="640" w:firstLineChars="200"/>
        <w:rPr>
          <w:rFonts w:hint="eastAsia" w:ascii="Times New Roman" w:hAnsi="Times New Roman" w:eastAsia="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 推进学科建设：明确重点发展学科，加大资金投入与政策支持，鼓励开展新技术、新项目，提升专科诊疗水平。搭建多学科协作平台，针对复杂疾病开展联合诊疗，整合各学科优势资源，制定个性化治疗方案。</w:t>
      </w:r>
    </w:p>
    <w:p>
      <w:pPr>
        <w:spacing w:line="560" w:lineRule="exact"/>
        <w:ind w:firstLine="640" w:firstLineChars="200"/>
        <w:rPr>
          <w:rFonts w:hint="eastAsia" w:ascii="Times New Roman" w:hAnsi="Times New Roman" w:eastAsia="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 强化人才培养：制定人才引进计划，通过优厚待遇和良好的发展平台吸引高层次医疗人才、学科带头人及紧缺专业人才。建立健全人才培养体系，开展院内培训、学术讲座、进修学习等活动，支持医护人员攻读更高学位、参与科研项目，鼓励在职继续教育，提升医护人员专业技能与综合素质，打造高素质医疗人才队伍。</w:t>
      </w:r>
    </w:p>
    <w:p>
      <w:pPr>
        <w:spacing w:line="560" w:lineRule="exact"/>
        <w:ind w:firstLine="640" w:firstLineChars="200"/>
        <w:rPr>
          <w:rFonts w:hint="eastAsia" w:ascii="Times New Roman" w:hAnsi="Times New Roman" w:eastAsia="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 提升运营管理：优化资源配置，加强成本核算与控制，提高资金使用效率。加快信息化建设步伐，完善医院信息管理系统，推进智慧医院建设，实现医疗数据互联互通，提升医院运营管理的精细化、智能化水平。</w:t>
      </w:r>
    </w:p>
    <w:p>
      <w:pPr>
        <w:spacing w:line="560" w:lineRule="exact"/>
        <w:ind w:firstLine="640" w:firstLineChars="200"/>
        <w:rPr>
          <w:rFonts w:hint="eastAsia" w:ascii="Times New Roman" w:hAnsi="Times New Roman" w:eastAsia="仿宋_GB2312"/>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5. 完善硬件设施：根据医院发展规划，有序推进东院区建设项目，改善医院就医环境与诊疗条件。</w:t>
      </w: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lang w:eastAsia="zh-CN"/>
          <w14:textFill>
            <w14:solidFill>
              <w14:schemeClr w14:val="tx1"/>
            </w14:solidFill>
          </w14:textFill>
        </w:rPr>
        <w:t>2025</w:t>
      </w:r>
      <w:r>
        <w:rPr>
          <w:rFonts w:hint="eastAsia" w:ascii="Times New Roman" w:hAnsi="Times New Roman" w:eastAsia="黑体"/>
          <w:color w:val="000000" w:themeColor="text1"/>
          <w:sz w:val="36"/>
          <w:szCs w:val="36"/>
          <w14:textFill>
            <w14:solidFill>
              <w14:schemeClr w14:val="tx1"/>
            </w14:solidFill>
          </w14:textFill>
        </w:rPr>
        <w:t>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预算表由以下1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u w:val="none"/>
          <w14:textFill>
            <w14:solidFill>
              <w14:schemeClr w14:val="tx1"/>
            </w14:solidFill>
          </w14:textFill>
        </w:rPr>
        <w:t>附件</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收入总表（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基本支出总表（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年项目</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政府采购支出表（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13.安庆市第二人民医院2025年项目支出绩效目标表（附件表13）</w:t>
      </w: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lang w:eastAsia="zh-CN"/>
          <w14:textFill>
            <w14:solidFill>
              <w14:schemeClr w14:val="tx1"/>
            </w14:solidFill>
          </w14:textFill>
        </w:rPr>
        <w:t>2025</w:t>
      </w:r>
      <w:r>
        <w:rPr>
          <w:rFonts w:hint="eastAsia" w:ascii="Times New Roman" w:hAnsi="Times New Roman" w:eastAsia="黑体"/>
          <w:color w:val="000000" w:themeColor="text1"/>
          <w:sz w:val="36"/>
          <w:szCs w:val="36"/>
          <w14:textFill>
            <w14:solidFill>
              <w14:schemeClr w14:val="tx1"/>
            </w14:solidFill>
          </w14:textFill>
        </w:rPr>
        <w:t>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b w:val="0"/>
          <w:bCs w:val="0"/>
          <w:i w:val="0"/>
          <w:iCs w:val="0"/>
          <w:color w:val="000000" w:themeColor="text1"/>
          <w:sz w:val="32"/>
          <w:szCs w:val="32"/>
          <w:u w:val="none"/>
          <w14:textFill>
            <w14:solidFill>
              <w14:schemeClr w14:val="tx1"/>
            </w14:solidFill>
          </w14:textFill>
        </w:rPr>
        <w:t>所</w:t>
      </w:r>
      <w:r>
        <w:rPr>
          <w:rFonts w:ascii="Times New Roman" w:hAnsi="Times New Roman" w:eastAsia="仿宋_GB2312"/>
          <w:color w:val="000000" w:themeColor="text1"/>
          <w:sz w:val="32"/>
          <w:szCs w:val="32"/>
          <w14:textFill>
            <w14:solidFill>
              <w14:schemeClr w14:val="tx1"/>
            </w14:solidFill>
          </w14:textFill>
        </w:rPr>
        <w:t>有收入和支出均纳入</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预算管理。</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lang w:eastAsia="zh-CN"/>
          <w14:textFill>
            <w14:solidFill>
              <w14:schemeClr w14:val="tx1"/>
            </w14:solidFill>
          </w14:textFill>
        </w:rPr>
        <w:t>2025</w:t>
      </w:r>
      <w:r>
        <w:rPr>
          <w:rFonts w:hint="eastAsia" w:ascii="Times New Roman" w:hAnsi="Times New Roman" w:eastAsia="仿宋_GB2312"/>
          <w:color w:val="000000" w:themeColor="text1"/>
          <w:sz w:val="32"/>
          <w:szCs w:val="32"/>
          <w:u w:val="none"/>
          <w14:textFill>
            <w14:solidFill>
              <w14:schemeClr w14:val="tx1"/>
            </w14:solidFill>
          </w14:textFill>
        </w:rPr>
        <w:t>年</w:t>
      </w:r>
      <w:r>
        <w:rPr>
          <w:rFonts w:ascii="Times New Roman" w:hAnsi="Times New Roman" w:eastAsia="仿宋_GB2312"/>
          <w:color w:val="000000" w:themeColor="text1"/>
          <w:sz w:val="32"/>
          <w:szCs w:val="32"/>
          <w:u w:val="none"/>
          <w14:textFill>
            <w14:solidFill>
              <w14:schemeClr w14:val="tx1"/>
            </w14:solidFill>
          </w14:textFill>
        </w:rPr>
        <w:t>收支总预算</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22698.00</w:t>
      </w:r>
      <w:r>
        <w:rPr>
          <w:rFonts w:ascii="Times New Roman" w:hAnsi="Times New Roman" w:eastAsia="仿宋_GB2312"/>
          <w:color w:val="000000" w:themeColor="text1"/>
          <w:sz w:val="32"/>
          <w:szCs w:val="32"/>
          <w:u w:val="none"/>
          <w14:textFill>
            <w14:solidFill>
              <w14:schemeClr w14:val="tx1"/>
            </w14:solidFill>
          </w14:textFill>
        </w:rPr>
        <w:t>万元，</w:t>
      </w:r>
      <w:r>
        <w:rPr>
          <w:rFonts w:ascii="Times New Roman" w:hAnsi="Times New Roman" w:eastAsia="仿宋_GB2312"/>
          <w:color w:val="000000" w:themeColor="text1"/>
          <w:sz w:val="32"/>
          <w:szCs w:val="32"/>
          <w14:textFill>
            <w14:solidFill>
              <w14:schemeClr w14:val="tx1"/>
            </w14:solidFill>
          </w14:textFill>
        </w:rPr>
        <w:t>收入包括一般公共预算拨款收入、</w:t>
      </w:r>
      <w:r>
        <w:rPr>
          <w:rFonts w:hint="eastAsia" w:ascii="Times New Roman" w:hAnsi="Times New Roman" w:eastAsia="仿宋_GB2312"/>
          <w:color w:val="000000" w:themeColor="text1"/>
          <w:sz w:val="32"/>
          <w:szCs w:val="32"/>
          <w14:textFill>
            <w14:solidFill>
              <w14:schemeClr w14:val="tx1"/>
            </w14:solidFill>
          </w14:textFill>
        </w:rPr>
        <w:t>单位资金收入</w:t>
      </w:r>
      <w:r>
        <w:rPr>
          <w:rFonts w:ascii="Times New Roman" w:hAnsi="Times New Roman" w:eastAsia="仿宋_GB2312"/>
          <w:color w:val="000000" w:themeColor="text1"/>
          <w:sz w:val="32"/>
          <w:szCs w:val="32"/>
          <w14:textFill>
            <w14:solidFill>
              <w14:schemeClr w14:val="tx1"/>
            </w14:solidFill>
          </w14:textFill>
        </w:rPr>
        <w:t>，支出包括社会保障和就业支出、卫生健康支出、住房保障支出</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22698.00</w:t>
      </w:r>
      <w:r>
        <w:rPr>
          <w:rFonts w:ascii="Times New Roman" w:hAnsi="Times New Roman" w:eastAsia="仿宋_GB2312"/>
          <w:color w:val="000000" w:themeColor="text1"/>
          <w:sz w:val="32"/>
          <w:szCs w:val="32"/>
          <w14:textFill>
            <w14:solidFill>
              <w14:schemeClr w14:val="tx1"/>
            </w14:solidFill>
          </w14:textFill>
        </w:rPr>
        <w:t>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22698.00</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3" w:firstLineChars="200"/>
        <w:rPr>
          <w:rFonts w:hint="default" w:ascii="Times New Roman" w:hAnsi="Times New Roman" w:eastAsia="仿宋_GB2312"/>
          <w:color w:val="000000" w:themeColor="text1"/>
          <w:sz w:val="32"/>
          <w:szCs w:val="32"/>
          <w:lang w:val="en-US"/>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22698.00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387.67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1.71</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较2024年新增9.67万元，增长2.56%，增长原因主要是</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新增离休人员绩效经费</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单</w:t>
      </w:r>
      <w:r>
        <w:rPr>
          <w:rFonts w:hint="eastAsia" w:ascii="Times New Roman" w:hAnsi="Times New Roman" w:eastAsia="仿宋_GB2312"/>
          <w:color w:val="000000" w:themeColor="text1"/>
          <w:sz w:val="32"/>
          <w:szCs w:val="32"/>
          <w14:textFill>
            <w14:solidFill>
              <w14:schemeClr w14:val="tx1"/>
            </w14:solidFill>
          </w14:textFill>
        </w:rPr>
        <w:t>位资金收入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22310.33</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98.29</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705.56</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3.27</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val="en-US" w:eastAsia="zh-CN"/>
          <w14:textFill>
            <w14:solidFill>
              <w14:schemeClr w14:val="tx1"/>
            </w14:solidFill>
          </w14:textFill>
        </w:rPr>
        <w:t>门诊及住院收入增长。</w:t>
      </w:r>
    </w:p>
    <w:p>
      <w:pPr>
        <w:adjustRightInd w:val="0"/>
        <w:snapToGrid w:val="0"/>
        <w:spacing w:line="560" w:lineRule="exact"/>
        <w:ind w:firstLine="643"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0.00</w:t>
      </w:r>
      <w:r>
        <w:rPr>
          <w:rFonts w:hint="eastAsia" w:ascii="Times New Roman" w:hAnsi="Times New Roman" w:eastAsia="仿宋_GB2312"/>
          <w:b/>
          <w:bCs/>
          <w:color w:val="000000" w:themeColor="text1"/>
          <w:sz w:val="32"/>
          <w:szCs w:val="32"/>
          <w14:textFill>
            <w14:solidFill>
              <w14:schemeClr w14:val="tx1"/>
            </w14:solidFill>
          </w14:textFill>
        </w:rPr>
        <w:t>万</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与2024年预算持平。原因是上年收支平衡，无结转收入。</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22698.00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715.23</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3.25</w:t>
      </w:r>
      <w:r>
        <w:rPr>
          <w:rFonts w:ascii="Times New Roman" w:hAnsi="Times New Roman" w:eastAsia="仿宋_GB2312"/>
          <w:color w:val="000000" w:themeColor="text1"/>
          <w:sz w:val="32"/>
          <w:szCs w:val="32"/>
          <w14:textFill>
            <w14:solidFill>
              <w14:schemeClr w14:val="tx1"/>
            </w14:solidFill>
          </w14:textFill>
        </w:rPr>
        <w:t>%，增长原因主要</w:t>
      </w:r>
      <w:r>
        <w:rPr>
          <w:rFonts w:hint="eastAsia" w:ascii="Times New Roman" w:hAnsi="Times New Roman" w:eastAsia="仿宋_GB2312"/>
          <w:color w:val="000000" w:themeColor="text1"/>
          <w:sz w:val="32"/>
          <w:szCs w:val="32"/>
          <w:lang w:val="en-US" w:eastAsia="zh-CN"/>
          <w14:textFill>
            <w14:solidFill>
              <w14:schemeClr w14:val="tx1"/>
            </w14:solidFill>
          </w14:textFill>
        </w:rPr>
        <w:t>是根据零基运算，重新制定预算</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22698.00</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，主要用于保障机构日常运转、完成日常工作任务</w:t>
      </w:r>
      <w:r>
        <w:rPr>
          <w:rFonts w:hint="eastAsia" w:ascii="Times New Roman" w:hAnsi="Times New Roman" w:eastAsia="仿宋_GB2312"/>
          <w:color w:val="000000" w:themeColor="text1"/>
          <w:sz w:val="32"/>
          <w:szCs w:val="32"/>
          <w:lang w:val="en-US" w:eastAsia="zh-CN"/>
          <w14:textFill>
            <w14:solidFill>
              <w14:schemeClr w14:val="tx1"/>
            </w14:solidFill>
          </w14:textFill>
        </w:rPr>
        <w:t>等。</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387.67</w:t>
      </w:r>
      <w:r>
        <w:rPr>
          <w:rFonts w:hint="eastAsia" w:ascii="Times New Roman" w:hAnsi="Times New Roman" w:eastAsia="仿宋_GB2312"/>
          <w:color w:val="000000" w:themeColor="text1"/>
          <w:sz w:val="32"/>
          <w:szCs w:val="32"/>
          <w14:textFill>
            <w14:solidFill>
              <w14:schemeClr w14:val="tx1"/>
            </w14:solidFill>
          </w14:textFill>
        </w:rPr>
        <w:t>万元。收入按资金来源分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为一般公共预算拨款，按资金年度分全部为当年财政拨款收入。支出按功能分</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val="en-US" w:eastAsia="zh-CN"/>
          <w14:textFill>
            <w14:solidFill>
              <w14:schemeClr w14:val="tx1"/>
            </w14:solidFill>
          </w14:textFill>
        </w:rPr>
        <w:t>全部为</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387.67</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6"/>
        <w:widowControl w:val="0"/>
        <w:adjustRightInd w:val="0"/>
        <w:snapToGrid w:val="0"/>
        <w:spacing w:before="0" w:beforeAutospacing="0" w:after="0" w:afterAutospacing="0" w:line="560" w:lineRule="exact"/>
        <w:ind w:firstLine="627" w:firstLineChars="196"/>
        <w:rPr>
          <w:rFonts w:hint="default" w:ascii="仿宋_GB2312" w:hAnsi="仿宋" w:eastAsia="仿宋_GB2312"/>
          <w:sz w:val="32"/>
          <w:szCs w:val="32"/>
          <w:lang w:val="en-US" w:eastAsia="zh-CN"/>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kern w:val="2"/>
          <w:sz w:val="32"/>
          <w:szCs w:val="32"/>
          <w14:textFill>
            <w14:solidFill>
              <w14:schemeClr w14:val="tx1"/>
            </w14:solidFill>
          </w14:textFill>
        </w:rPr>
        <w:t>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387.67</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较</w:t>
      </w:r>
      <w:r>
        <w:rPr>
          <w:rFonts w:hint="eastAsia" w:ascii="Times New Roman" w:hAnsi="Times New Roman" w:eastAsia="仿宋_GB2312" w:cs="Times New Roman"/>
          <w:color w:val="000000" w:themeColor="text1"/>
          <w:kern w:val="2"/>
          <w:sz w:val="32"/>
          <w:szCs w:val="32"/>
          <w14:textFill>
            <w14:solidFill>
              <w14:schemeClr w14:val="tx1"/>
            </w14:solidFill>
          </w14:textFill>
        </w:rPr>
        <w:t>202</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4年预算增加9.67万元，增长2.56%，</w:t>
      </w:r>
      <w:bookmarkStart w:id="0" w:name="OLE_LINK2"/>
      <w:r>
        <w:rPr>
          <w:rFonts w:hint="eastAsia" w:ascii="仿宋_GB2312" w:hAnsi="仿宋" w:eastAsia="仿宋_GB2312"/>
          <w:sz w:val="32"/>
          <w:szCs w:val="32"/>
          <w:lang w:val="en-US" w:eastAsia="zh-CN"/>
        </w:rPr>
        <w:t>增长原因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是新增离休人员绩效经费。</w:t>
      </w:r>
    </w:p>
    <w:bookmarkEnd w:id="0"/>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pStyle w:val="6"/>
        <w:widowControl w:val="0"/>
        <w:adjustRightInd w:val="0"/>
        <w:snapToGrid w:val="0"/>
        <w:spacing w:before="0" w:beforeAutospacing="0" w:after="0" w:afterAutospacing="0" w:line="560" w:lineRule="exact"/>
        <w:ind w:firstLine="627" w:firstLineChars="196"/>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387.67</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100.00</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adjustRightInd w:val="0"/>
        <w:snapToGrid w:val="0"/>
        <w:spacing w:line="600" w:lineRule="exact"/>
        <w:ind w:firstLine="643" w:firstLineChars="200"/>
        <w:rPr>
          <w:rFonts w:hint="default" w:ascii="仿宋_GB2312" w:hAnsi="仿宋" w:eastAsia="仿宋_GB2312"/>
          <w:sz w:val="32"/>
          <w:szCs w:val="32"/>
          <w:highlight w:val="yellow"/>
          <w:lang w:val="en-US" w:eastAsia="zh-CN"/>
        </w:rPr>
      </w:pPr>
      <w:r>
        <w:rPr>
          <w:rFonts w:hint="eastAsia" w:ascii="Times New Roman" w:hAnsi="Times New Roman" w:eastAsia="仿宋_GB2312"/>
          <w:b/>
          <w:color w:val="000000" w:themeColor="text1"/>
          <w:sz w:val="32"/>
          <w:szCs w:val="32"/>
          <w:lang w:val="en-US" w:eastAsia="zh-CN"/>
          <w14:textFill>
            <w14:solidFill>
              <w14:schemeClr w14:val="tx1"/>
            </w14:solidFill>
          </w14:textFill>
        </w:rPr>
        <w:t>1.</w:t>
      </w: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w:t>
      </w:r>
      <w:r>
        <w:rPr>
          <w:rFonts w:hint="eastAsia" w:ascii="Times New Roman" w:hAnsi="Times New Roman" w:eastAsia="仿宋_GB2312"/>
          <w:b/>
          <w:color w:val="000000" w:themeColor="text1"/>
          <w:sz w:val="32"/>
          <w:szCs w:val="32"/>
          <w:lang w:val="en-US" w:eastAsia="zh-CN"/>
          <w14:textFill>
            <w14:solidFill>
              <w14:schemeClr w14:val="tx1"/>
            </w14:solidFill>
          </w14:textFill>
        </w:rPr>
        <w:t>机关事业单位基本养老保险缴费支出</w:t>
      </w:r>
      <w:r>
        <w:rPr>
          <w:rFonts w:ascii="Times New Roman" w:hAnsi="Times New Roman" w:eastAsia="仿宋_GB2312"/>
          <w:b/>
          <w:color w:val="000000" w:themeColor="text1"/>
          <w:sz w:val="32"/>
          <w:szCs w:val="32"/>
          <w14:textFill>
            <w14:solidFill>
              <w14:schemeClr w14:val="tx1"/>
            </w14:solidFill>
          </w14:textFill>
        </w:rPr>
        <w:t>（项）</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w:t>
      </w:r>
      <w:bookmarkStart w:id="1" w:name="OLE_LINK1"/>
      <w:r>
        <w:rPr>
          <w:rFonts w:hint="eastAsia" w:ascii="仿宋_GB2312" w:hAnsi="仿宋" w:eastAsia="仿宋_GB2312"/>
          <w:sz w:val="32"/>
          <w:szCs w:val="32"/>
        </w:rPr>
        <w:t>与202</w:t>
      </w:r>
      <w:r>
        <w:rPr>
          <w:rFonts w:hint="eastAsia" w:ascii="仿宋_GB2312" w:hAnsi="仿宋"/>
          <w:sz w:val="32"/>
          <w:szCs w:val="32"/>
          <w:lang w:val="en-US" w:eastAsia="zh-CN"/>
        </w:rPr>
        <w:t>4</w:t>
      </w:r>
      <w:r>
        <w:rPr>
          <w:rFonts w:hint="eastAsia" w:ascii="仿宋_GB2312" w:hAnsi="仿宋" w:eastAsia="仿宋_GB2312"/>
          <w:sz w:val="32"/>
          <w:szCs w:val="32"/>
        </w:rPr>
        <w:t>年预算持平</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增长原因主要是上级拨款政策未发生变化。</w:t>
      </w:r>
    </w:p>
    <w:p>
      <w:pPr>
        <w:pStyle w:val="6"/>
        <w:widowControl w:val="0"/>
        <w:adjustRightInd w:val="0"/>
        <w:snapToGrid w:val="0"/>
        <w:spacing w:before="0" w:beforeAutospacing="0" w:after="0" w:afterAutospacing="0" w:line="560" w:lineRule="exact"/>
        <w:ind w:firstLine="630" w:firstLineChars="196"/>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color w:val="000000" w:themeColor="text1"/>
          <w:sz w:val="32"/>
          <w:szCs w:val="32"/>
          <w:lang w:val="en-US" w:eastAsia="zh-CN"/>
          <w14:textFill>
            <w14:solidFill>
              <w14:schemeClr w14:val="tx1"/>
            </w14:solidFill>
          </w14:textFill>
        </w:rPr>
        <w:t>2.</w:t>
      </w: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w:t>
      </w:r>
      <w:r>
        <w:rPr>
          <w:rFonts w:hint="eastAsia" w:ascii="Times New Roman" w:hAnsi="Times New Roman" w:eastAsia="仿宋_GB2312"/>
          <w:b/>
          <w:color w:val="000000" w:themeColor="text1"/>
          <w:sz w:val="32"/>
          <w:szCs w:val="32"/>
          <w:lang w:val="en-US" w:eastAsia="zh-CN"/>
          <w14:textFill>
            <w14:solidFill>
              <w14:schemeClr w14:val="tx1"/>
            </w14:solidFill>
          </w14:textFill>
        </w:rPr>
        <w:t>事业</w:t>
      </w:r>
      <w:r>
        <w:rPr>
          <w:rFonts w:ascii="Times New Roman" w:hAnsi="Times New Roman" w:eastAsia="仿宋_GB2312"/>
          <w:b/>
          <w:color w:val="000000" w:themeColor="text1"/>
          <w:sz w:val="32"/>
          <w:szCs w:val="32"/>
          <w14:textFill>
            <w14:solidFill>
              <w14:schemeClr w14:val="tx1"/>
            </w14:solidFill>
          </w14:textFill>
        </w:rPr>
        <w:t>单位离退休（项）</w:t>
      </w:r>
      <w:r>
        <w:rPr>
          <w:rFonts w:hint="eastAsia" w:ascii="Times New Roman" w:hAnsi="Times New Roman" w:eastAsia="仿宋_GB2312"/>
          <w:color w:val="000000" w:themeColor="text1"/>
          <w:sz w:val="32"/>
          <w:szCs w:val="32"/>
          <w:lang w:val="en-US" w:eastAsia="zh-CN"/>
          <w14:textFill>
            <w14:solidFill>
              <w14:schemeClr w14:val="tx1"/>
            </w14:solidFill>
          </w14:textFill>
        </w:rPr>
        <w:t>2025年预算9.67万元，较2025年预算增加9.67万元，</w:t>
      </w:r>
      <w:r>
        <w:rPr>
          <w:rFonts w:hint="eastAsia" w:ascii="仿宋_GB2312" w:hAnsi="仿宋" w:eastAsia="仿宋_GB2312"/>
          <w:sz w:val="32"/>
          <w:szCs w:val="32"/>
          <w:lang w:val="en-US" w:eastAsia="zh-CN"/>
        </w:rPr>
        <w:t>增长原因主要</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是新增离休人员绩效经费。</w:t>
      </w:r>
    </w:p>
    <w:bookmarkEnd w:id="1"/>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一般公共预算基本支出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387.67</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387.67</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numPr>
          <w:ilvl w:val="0"/>
          <w:numId w:val="0"/>
        </w:numPr>
        <w:ind w:firstLine="643" w:firstLineChars="200"/>
        <w:rPr>
          <w:rFonts w:hint="default" w:ascii="仿宋_GB2312" w:hAnsi="仿宋" w:eastAsia="仿宋_GB2312"/>
          <w:sz w:val="32"/>
          <w:szCs w:val="32"/>
        </w:rPr>
      </w:pPr>
      <w:r>
        <w:rPr>
          <w:rFonts w:hint="eastAsia" w:ascii="Times New Roman" w:hAnsi="Times New Roman" w:eastAsia="仿宋_GB2312"/>
          <w:b/>
          <w:bCs/>
          <w:color w:val="000000" w:themeColor="text1"/>
          <w:sz w:val="32"/>
          <w:szCs w:val="32"/>
          <w14:textFill>
            <w14:solidFill>
              <w14:schemeClr w14:val="tx1"/>
            </w14:solidFill>
          </w14:textFill>
        </w:rPr>
        <w:t>人员经费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387.67</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仿宋_GB2312" w:hAnsi="仿宋" w:eastAsia="仿宋_GB2312"/>
          <w:sz w:val="32"/>
          <w:szCs w:val="32"/>
          <w:lang w:val="en-US" w:eastAsia="zh-CN"/>
        </w:rPr>
        <w:t>主要包括：</w:t>
      </w:r>
      <w:r>
        <w:rPr>
          <w:rFonts w:hint="eastAsia" w:ascii="仿宋_GB2312" w:hAnsi="仿宋" w:eastAsia="仿宋_GB2312"/>
          <w:sz w:val="32"/>
          <w:szCs w:val="32"/>
        </w:rPr>
        <w:t>机关事业单位基本养老保险费</w:t>
      </w:r>
      <w:r>
        <w:rPr>
          <w:rFonts w:hint="eastAsia" w:ascii="仿宋_GB2312" w:hAnsi="仿宋" w:eastAsia="仿宋_GB2312"/>
          <w:sz w:val="32"/>
          <w:szCs w:val="32"/>
          <w:lang w:val="en-US" w:eastAsia="zh-CN"/>
        </w:rPr>
        <w:t>及</w:t>
      </w:r>
      <w:r>
        <w:rPr>
          <w:rFonts w:hint="eastAsia" w:ascii="Times New Roman" w:hAnsi="Times New Roman" w:eastAsia="仿宋_GB2312"/>
          <w:color w:val="000000" w:themeColor="text1"/>
          <w:sz w:val="32"/>
          <w:szCs w:val="32"/>
          <w14:textFill>
            <w14:solidFill>
              <w14:schemeClr w14:val="tx1"/>
            </w14:solidFill>
          </w14:textFill>
        </w:rPr>
        <w:t>离休费</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lang w:eastAsia="zh-CN"/>
          <w14:textFill>
            <w14:solidFill>
              <w14:schemeClr w14:val="tx1"/>
            </w14:solidFill>
          </w14:textFill>
        </w:rPr>
        <w:t>2025</w:t>
      </w:r>
      <w:r>
        <w:rPr>
          <w:rFonts w:hint="eastAsia" w:ascii="Times New Roman" w:hAnsi="Times New Roman" w:eastAsia="黑体"/>
          <w:color w:val="000000" w:themeColor="text1"/>
          <w:sz w:val="32"/>
          <w:szCs w:val="32"/>
          <w14:textFill>
            <w14:solidFill>
              <w14:schemeClr w14:val="tx1"/>
            </w14:solidFill>
          </w14:textFill>
        </w:rPr>
        <w:t>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w:t>
      </w:r>
      <w:r>
        <w:rPr>
          <w:rFonts w:hint="eastAsia" w:ascii="Times New Roman" w:hAnsi="Times New Roman" w:eastAsia="黑体" w:cs="Times New Roman"/>
          <w:color w:val="000000" w:themeColor="text1"/>
          <w:kern w:val="2"/>
          <w:sz w:val="32"/>
          <w:szCs w:val="32"/>
          <w:lang w:eastAsia="zh-CN"/>
          <w14:textFill>
            <w14:solidFill>
              <w14:schemeClr w14:val="tx1"/>
            </w14:solidFill>
          </w14:textFill>
        </w:rPr>
        <w:t>2025</w:t>
      </w:r>
      <w:r>
        <w:rPr>
          <w:rFonts w:hint="eastAsia" w:ascii="Times New Roman" w:hAnsi="Times New Roman" w:eastAsia="黑体" w:cs="Times New Roman"/>
          <w:color w:val="000000" w:themeColor="text1"/>
          <w:kern w:val="2"/>
          <w:sz w:val="32"/>
          <w:szCs w:val="32"/>
          <w14:textFill>
            <w14:solidFill>
              <w14:schemeClr w14:val="tx1"/>
            </w14:solidFill>
          </w14:textFill>
        </w:rPr>
        <w:t>年项目支出表的说明</w:t>
      </w:r>
    </w:p>
    <w:p>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年没有使用一般公共预算拨款、政府性基金预算拨款、国有资本经营预算拨款、财政专户管理资金和单位资金安排的项目支出。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w:t>
      </w:r>
      <w:r>
        <w:rPr>
          <w:rFonts w:hint="eastAsia" w:ascii="Times New Roman" w:hAnsi="Times New Roman" w:eastAsia="黑体" w:cs="Times New Roman"/>
          <w:color w:val="000000" w:themeColor="text1"/>
          <w:kern w:val="2"/>
          <w:sz w:val="32"/>
          <w:szCs w:val="32"/>
          <w:lang w:eastAsia="zh-CN"/>
          <w14:textFill>
            <w14:solidFill>
              <w14:schemeClr w14:val="tx1"/>
            </w14:solidFill>
          </w14:textFill>
        </w:rPr>
        <w:t>2025</w:t>
      </w:r>
      <w:r>
        <w:rPr>
          <w:rFonts w:hint="eastAsia" w:ascii="Times New Roman" w:hAnsi="Times New Roman" w:eastAsia="黑体" w:cs="Times New Roman"/>
          <w:color w:val="000000" w:themeColor="text1"/>
          <w:kern w:val="2"/>
          <w:sz w:val="32"/>
          <w:szCs w:val="32"/>
          <w14:textFill>
            <w14:solidFill>
              <w14:schemeClr w14:val="tx1"/>
            </w14:solidFill>
          </w14:textFill>
        </w:rPr>
        <w:t>年政府采购支出表的说明</w:t>
      </w:r>
    </w:p>
    <w:p>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2025</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Times New Roman" w:hAnsi="Times New Roman" w:eastAsia="仿宋_GB2312" w:cs="Times New Roman"/>
          <w:color w:val="000000" w:themeColor="text1"/>
          <w:sz w:val="32"/>
          <w:szCs w:val="32"/>
          <w14:textFill>
            <w14:solidFill>
              <w14:schemeClr w14:val="tx1"/>
            </w14:solidFill>
          </w14:textFill>
        </w:rPr>
        <w:t>年没有安排政府购买服务支出。</w:t>
      </w:r>
    </w:p>
    <w:p>
      <w:pPr>
        <w:numPr>
          <w:ilvl w:val="0"/>
          <w:numId w:val="0"/>
        </w:numPr>
        <w:spacing w:line="560" w:lineRule="exact"/>
        <w:ind w:left="630" w:left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十二、</w:t>
      </w: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adjustRightInd w:val="0"/>
        <w:snapToGrid w:val="0"/>
        <w:spacing w:line="58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NewRoman" w:hAnsi="TimesNewRoman" w:eastAsia="仿宋_GB2312" w:cs="TimesNewRoman"/>
          <w:b/>
          <w:kern w:val="2"/>
          <w:sz w:val="32"/>
          <w:szCs w:val="32"/>
          <w:lang w:val="en-US" w:eastAsia="zh-CN" w:bidi="ar-SA"/>
        </w:rPr>
        <w:t>（一）项目及绩效目标情况。</w:t>
      </w:r>
    </w:p>
    <w:p>
      <w:pPr>
        <w:spacing w:line="560" w:lineRule="exact"/>
        <w:ind w:firstLine="640" w:firstLineChars="200"/>
        <w:rPr>
          <w:rFonts w:ascii="Times New Roman" w:hAnsi="Times New Roman" w:eastAsia="仿宋_GB2312"/>
          <w:color w:val="000000" w:themeColor="text1"/>
          <w:sz w:val="32"/>
          <w:szCs w:val="32"/>
          <w:highlight w:val="none"/>
          <w:u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2025</w:t>
      </w:r>
      <w:r>
        <w:rPr>
          <w:rFonts w:hint="eastAsia" w:ascii="Times New Roman" w:hAnsi="Times New Roman" w:eastAsia="仿宋_GB2312"/>
          <w:color w:val="000000" w:themeColor="text1"/>
          <w:kern w:val="0"/>
          <w:sz w:val="32"/>
          <w:szCs w:val="32"/>
          <w:highlight w:val="none"/>
          <w:u w:val="none"/>
          <w14:textFill>
            <w14:solidFill>
              <w14:schemeClr w14:val="tx1"/>
            </w14:solidFill>
          </w14:textFill>
        </w:rPr>
        <w:t>年</w:t>
      </w:r>
      <w:r>
        <w:rPr>
          <w:rFonts w:hint="eastAsia" w:ascii="Times New Roman" w:hAnsi="Times New Roman" w:eastAsia="仿宋_GB2312"/>
          <w:color w:val="000000" w:themeColor="text1"/>
          <w:sz w:val="32"/>
          <w:szCs w:val="32"/>
          <w:highlight w:val="none"/>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highlight w:val="none"/>
          <w:u w:val="none"/>
          <w14:textFill>
            <w14:solidFill>
              <w14:schemeClr w14:val="tx1"/>
            </w14:solidFill>
          </w14:textFill>
        </w:rPr>
        <w:t>市</w:t>
      </w:r>
      <w:r>
        <w:rPr>
          <w:rFonts w:hint="eastAsia" w:ascii="Times New Roman" w:hAnsi="Times New Roman" w:eastAsia="仿宋_GB2312"/>
          <w:color w:val="000000" w:themeColor="text1"/>
          <w:sz w:val="32"/>
          <w:szCs w:val="32"/>
          <w:highlight w:val="none"/>
          <w:u w:val="none"/>
          <w:lang w:val="en-US" w:eastAsia="zh-CN"/>
          <w14:textFill>
            <w14:solidFill>
              <w14:schemeClr w14:val="tx1"/>
            </w14:solidFill>
          </w14:textFill>
        </w:rPr>
        <w:t>第二人民医院</w:t>
      </w:r>
      <w:r>
        <w:rPr>
          <w:rFonts w:ascii="Times New Roman" w:hAnsi="Times New Roman" w:eastAsia="仿宋_GB2312"/>
          <w:color w:val="000000" w:themeColor="text1"/>
          <w:sz w:val="32"/>
          <w:szCs w:val="32"/>
          <w:highlight w:val="none"/>
          <w:u w:val="none"/>
          <w14:textFill>
            <w14:solidFill>
              <w14:schemeClr w14:val="tx1"/>
            </w14:solidFill>
          </w14:textFill>
        </w:rPr>
        <w:t>没有需编制绩效目标的</w:t>
      </w:r>
      <w:r>
        <w:rPr>
          <w:rFonts w:hint="eastAsia" w:ascii="Times New Roman" w:hAnsi="Times New Roman" w:eastAsia="仿宋_GB2312"/>
          <w:color w:val="000000" w:themeColor="text1"/>
          <w:sz w:val="32"/>
          <w:szCs w:val="32"/>
          <w:highlight w:val="none"/>
          <w:u w:val="none"/>
          <w14:textFill>
            <w14:solidFill>
              <w14:schemeClr w14:val="tx1"/>
            </w14:solidFill>
          </w14:textFill>
        </w:rPr>
        <w:t>项目</w:t>
      </w:r>
      <w:r>
        <w:rPr>
          <w:rFonts w:ascii="Times New Roman" w:hAnsi="Times New Roman" w:eastAsia="仿宋_GB2312"/>
          <w:color w:val="000000" w:themeColor="text1"/>
          <w:sz w:val="32"/>
          <w:szCs w:val="32"/>
          <w:highlight w:val="none"/>
          <w:u w:val="none"/>
          <w14:textFill>
            <w14:solidFill>
              <w14:schemeClr w14:val="tx1"/>
            </w14:solidFill>
          </w14:textFill>
        </w:rPr>
        <w:t>。</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adjustRightInd w:val="0"/>
        <w:snapToGrid w:val="0"/>
        <w:spacing w:line="560" w:lineRule="exact"/>
        <w:ind w:firstLine="640"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安庆市第二人民医院</w:t>
      </w:r>
      <w:r>
        <w:rPr>
          <w:rFonts w:ascii="Times New Roman" w:hAnsi="Times New Roman" w:eastAsia="仿宋_GB2312"/>
          <w:color w:val="000000" w:themeColor="text1"/>
          <w:sz w:val="32"/>
          <w:szCs w:val="32"/>
          <w14:textFill>
            <w14:solidFill>
              <w14:schemeClr w14:val="tx1"/>
            </w14:solidFill>
          </w14:textFill>
        </w:rPr>
        <w:t>系非参公事业单位，无机关运行经费。</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运行经费财政拨款预算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与2024年持平。</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2025</w:t>
      </w:r>
      <w:r>
        <w:rPr>
          <w:rFonts w:hint="eastAsia" w:ascii="Times New Roman" w:hAnsi="Times New Roman" w:eastAsia="仿宋_GB2312"/>
          <w:color w:val="000000" w:themeColor="text1"/>
          <w:kern w:val="0"/>
          <w:sz w:val="32"/>
          <w:szCs w:val="32"/>
          <w:highlight w:val="none"/>
          <w14:textFill>
            <w14:solidFill>
              <w14:schemeClr w14:val="tx1"/>
            </w14:solidFill>
          </w14:textFill>
        </w:rPr>
        <w:t>年</w:t>
      </w:r>
      <w:r>
        <w:rPr>
          <w:rFonts w:hint="eastAsia" w:ascii="仿宋_GB2312" w:hAnsi="仿宋" w:eastAsia="仿宋_GB2312" w:cstheme="minorBidi"/>
          <w:kern w:val="2"/>
          <w:sz w:val="32"/>
          <w:szCs w:val="32"/>
          <w:highlight w:val="none"/>
        </w:rPr>
        <w:t>安庆市第二人民医院</w:t>
      </w:r>
      <w:r>
        <w:rPr>
          <w:rFonts w:ascii="Times New Roman" w:hAnsi="Times New Roman" w:eastAsia="仿宋_GB2312"/>
          <w:color w:val="000000" w:themeColor="text1"/>
          <w:kern w:val="0"/>
          <w:sz w:val="32"/>
          <w:szCs w:val="32"/>
          <w:highlight w:val="none"/>
          <w14:textFill>
            <w14:solidFill>
              <w14:schemeClr w14:val="tx1"/>
            </w14:solidFill>
          </w14:textFill>
        </w:rPr>
        <w:t>政府采购预算总额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w:t>
      </w:r>
      <w:r>
        <w:rPr>
          <w:rFonts w:ascii="Times New Roman" w:hAnsi="Times New Roman" w:eastAsia="仿宋_GB2312"/>
          <w:color w:val="000000" w:themeColor="text1"/>
          <w:kern w:val="0"/>
          <w:sz w:val="32"/>
          <w:szCs w:val="32"/>
          <w:highlight w:val="none"/>
          <w14:textFill>
            <w14:solidFill>
              <w14:schemeClr w14:val="tx1"/>
            </w14:solidFill>
          </w14:textFill>
        </w:rPr>
        <w:t>其中：政府采购货物预算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万元、政府采购工程预算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万元、政府采购服务预算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spacing w:line="560" w:lineRule="exact"/>
        <w:ind w:firstLine="640"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年12月，</w:t>
      </w:r>
      <w:r>
        <w:rPr>
          <w:rFonts w:hint="eastAsia" w:ascii="仿宋_GB2312" w:hAnsi="仿宋" w:eastAsia="仿宋_GB2312" w:cstheme="minorBidi"/>
          <w:kern w:val="2"/>
          <w:sz w:val="32"/>
          <w:szCs w:val="32"/>
        </w:rPr>
        <w:t>安庆市第二人民医院</w:t>
      </w:r>
      <w:r>
        <w:rPr>
          <w:rFonts w:hint="eastAsia" w:ascii="Times New Roman" w:hAnsi="Times New Roman" w:eastAsia="仿宋_GB2312"/>
          <w:color w:val="000000" w:themeColor="text1"/>
          <w:sz w:val="32"/>
          <w:szCs w:val="32"/>
          <w14:textFill>
            <w14:solidFill>
              <w14:schemeClr w14:val="tx1"/>
            </w14:solidFill>
          </w14:textFill>
        </w:rPr>
        <w:t>固定资产总金额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26501.69</w:t>
      </w:r>
      <w:r>
        <w:rPr>
          <w:rFonts w:hint="eastAsia" w:ascii="Times New Roman" w:hAnsi="Times New Roman" w:eastAsia="仿宋_GB2312"/>
          <w:color w:val="000000" w:themeColor="text1"/>
          <w:sz w:val="32"/>
          <w:szCs w:val="32"/>
          <w:highlight w:val="none"/>
          <w14:textFill>
            <w14:solidFill>
              <w14:schemeClr w14:val="tx1"/>
            </w14:solidFill>
          </w14:textFill>
        </w:rPr>
        <w:t>万元，较上年增加</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590.79</w:t>
      </w:r>
      <w:r>
        <w:rPr>
          <w:rFonts w:hint="eastAsia" w:ascii="Times New Roman" w:hAnsi="Times New Roman" w:eastAsia="仿宋_GB2312"/>
          <w:color w:val="000000" w:themeColor="text1"/>
          <w:sz w:val="32"/>
          <w:szCs w:val="32"/>
          <w:highlight w:val="none"/>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8818.01</w:t>
      </w:r>
      <w:r>
        <w:rPr>
          <w:rFonts w:hint="eastAsia" w:ascii="Times New Roman" w:hAnsi="Times New Roman" w:eastAsia="仿宋_GB2312"/>
          <w:color w:val="000000" w:themeColor="text1"/>
          <w:sz w:val="32"/>
          <w:szCs w:val="32"/>
          <w:highlight w:val="none"/>
          <w14:textFill>
            <w14:solidFill>
              <w14:schemeClr w14:val="tx1"/>
            </w14:solidFill>
          </w14:textFill>
        </w:rPr>
        <w:t>万元、设备</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17574.40</w:t>
      </w:r>
      <w:r>
        <w:rPr>
          <w:rFonts w:hint="eastAsia" w:ascii="Times New Roman" w:hAnsi="Times New Roman" w:eastAsia="仿宋_GB2312"/>
          <w:color w:val="000000" w:themeColor="text1"/>
          <w:sz w:val="32"/>
          <w:szCs w:val="32"/>
          <w:highlight w:val="none"/>
          <w14:textFill>
            <w14:solidFill>
              <w14:schemeClr w14:val="tx1"/>
            </w14:solidFill>
          </w14:textFill>
        </w:rPr>
        <w:t>万元、其他资产</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109.28</w:t>
      </w:r>
      <w:r>
        <w:rPr>
          <w:rFonts w:hint="eastAsia" w:ascii="Times New Roman" w:hAnsi="Times New Roman" w:eastAsia="仿宋_GB2312"/>
          <w:color w:val="000000" w:themeColor="text1"/>
          <w:sz w:val="32"/>
          <w:szCs w:val="32"/>
          <w:highlight w:val="none"/>
          <w14:textFill>
            <w14:solidFill>
              <w14:schemeClr w14:val="tx1"/>
            </w14:solidFill>
          </w14:textFill>
        </w:rPr>
        <w:t>万元。</w:t>
      </w:r>
    </w:p>
    <w:p>
      <w:pPr>
        <w:spacing w:line="560" w:lineRule="exact"/>
        <w:ind w:firstLine="640"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其中：应急保障用车7辆。</w:t>
      </w:r>
    </w:p>
    <w:p>
      <w:pPr>
        <w:spacing w:line="560" w:lineRule="exact"/>
        <w:ind w:firstLine="640"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42</w:t>
      </w:r>
      <w:r>
        <w:rPr>
          <w:rFonts w:hint="eastAsia" w:ascii="Times New Roman" w:hAnsi="Times New Roman" w:eastAsia="仿宋_GB2312"/>
          <w:color w:val="000000" w:themeColor="text1"/>
          <w:sz w:val="32"/>
          <w:szCs w:val="32"/>
          <w:highlight w:val="none"/>
          <w14:textFill>
            <w14:solidFill>
              <w14:schemeClr w14:val="tx1"/>
            </w14:solidFill>
          </w14:textFill>
        </w:rPr>
        <w:t xml:space="preserve">台（套）。 </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lang w:val="en-US"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单位预算安排购置车辆0 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购置费0</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年单位预算安排购置单位价值50万元以上的设备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bookmarkStart w:id="2" w:name="_GoBack"/>
      <w:bookmarkEnd w:id="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仿宋_GB2312" w:hAnsi="仿宋" w:eastAsia="仿宋_GB2312" w:cstheme="minorBidi"/>
          <w:kern w:val="2"/>
          <w:sz w:val="32"/>
          <w:szCs w:val="32"/>
          <w:highlight w:val="none"/>
        </w:rPr>
        <w:t>安庆市第二人民医院</w:t>
      </w:r>
      <w:r>
        <w:rPr>
          <w:rFonts w:hint="eastAsia" w:ascii="仿宋_GB2312" w:hAnsi="仿宋" w:cstheme="minorBidi"/>
          <w:kern w:val="2"/>
          <w:sz w:val="32"/>
          <w:szCs w:val="32"/>
          <w:highlight w:val="none"/>
          <w:lang w:val="en-US" w:eastAsia="zh-CN"/>
        </w:rPr>
        <w:t>0</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万元、政府性基金预算当年财政拨款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万元、国有资本经营预算当年财政拨款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万元、财政专户管理资金当年安排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万元和单位资金当年安排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指市财政当年拨付的资金，主要包括一般公共预算拨款收入、政府性基金预算拨款收入、国有资本经营预算拨款收入。</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仿宋_GB2312" w:hAnsi="仿宋" w:eastAsia="仿宋_GB2312" w:cstheme="minorBidi"/>
          <w:kern w:val="2"/>
          <w:sz w:val="32"/>
          <w:szCs w:val="32"/>
          <w:highlight w:val="none"/>
        </w:rPr>
        <w:t>安庆市第二人民医院</w:t>
      </w:r>
      <w:r>
        <w:rPr>
          <w:rFonts w:hint="eastAsia" w:ascii="Times New Roman" w:hAnsi="Times New Roman" w:eastAsia="仿宋_GB2312"/>
          <w:color w:val="000000" w:themeColor="text1"/>
          <w:sz w:val="32"/>
          <w:szCs w:val="32"/>
          <w:lang w:eastAsia="zh-CN"/>
          <w14:textFill>
            <w14:solidFill>
              <w14:schemeClr w14:val="tx1"/>
            </w14:solidFill>
          </w14:textFill>
        </w:rPr>
        <w:t>2025</w:t>
      </w:r>
      <w:r>
        <w:rPr>
          <w:rFonts w:hint="eastAsia" w:ascii="Times New Roman" w:hAnsi="Times New Roman" w:eastAsia="仿宋_GB2312"/>
          <w:color w:val="000000" w:themeColor="text1"/>
          <w:sz w:val="32"/>
          <w:szCs w:val="32"/>
          <w14:textFill>
            <w14:solidFill>
              <w14:schemeClr w14:val="tx1"/>
            </w14:solidFill>
          </w14:textFill>
        </w:rPr>
        <w:t>年预算报表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张）</w:t>
      </w:r>
    </w:p>
    <w:p>
      <w:pPr>
        <w:spacing w:line="580" w:lineRule="exact"/>
        <w:ind w:firstLine="643" w:firstLineChars="200"/>
        <w:jc w:val="left"/>
        <w:rPr>
          <w:rFonts w:ascii="楷体_GB2312" w:hAnsi="楷体_GB2312" w:eastAsia="楷体_GB2312" w:cs="楷体_GB2312"/>
          <w:b/>
          <w:color w:val="FF0000"/>
          <w:sz w:val="32"/>
          <w:szCs w:val="32"/>
        </w:rPr>
      </w:pPr>
    </w:p>
    <w:p>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96C3E"/>
    <w:multiLevelType w:val="singleLevel"/>
    <w:tmpl w:val="48F96C3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310728A"/>
    <w:rsid w:val="037D21F9"/>
    <w:rsid w:val="03D8291E"/>
    <w:rsid w:val="0B985C5B"/>
    <w:rsid w:val="11685F36"/>
    <w:rsid w:val="11E228D3"/>
    <w:rsid w:val="122840BF"/>
    <w:rsid w:val="122F4065"/>
    <w:rsid w:val="12387568"/>
    <w:rsid w:val="12C67ABB"/>
    <w:rsid w:val="12FB0E24"/>
    <w:rsid w:val="132F6D22"/>
    <w:rsid w:val="14E05AD6"/>
    <w:rsid w:val="162053E7"/>
    <w:rsid w:val="169A7865"/>
    <w:rsid w:val="1C3144E8"/>
    <w:rsid w:val="1F5A57E2"/>
    <w:rsid w:val="21070C50"/>
    <w:rsid w:val="21E629AA"/>
    <w:rsid w:val="22164DF5"/>
    <w:rsid w:val="23E870E5"/>
    <w:rsid w:val="24A52A74"/>
    <w:rsid w:val="2733756F"/>
    <w:rsid w:val="27E90ABF"/>
    <w:rsid w:val="28121C8D"/>
    <w:rsid w:val="2BFC2575"/>
    <w:rsid w:val="2D611702"/>
    <w:rsid w:val="2E7E2CA7"/>
    <w:rsid w:val="2EC3135E"/>
    <w:rsid w:val="2F75150B"/>
    <w:rsid w:val="30794FD7"/>
    <w:rsid w:val="324B6EEF"/>
    <w:rsid w:val="33AE68D9"/>
    <w:rsid w:val="33CB7E86"/>
    <w:rsid w:val="3595356A"/>
    <w:rsid w:val="359F18A9"/>
    <w:rsid w:val="35C54AD7"/>
    <w:rsid w:val="37FC29DB"/>
    <w:rsid w:val="3A3E6C77"/>
    <w:rsid w:val="3B482164"/>
    <w:rsid w:val="3C617D07"/>
    <w:rsid w:val="3DE646CC"/>
    <w:rsid w:val="3E59580C"/>
    <w:rsid w:val="3E7C3EAE"/>
    <w:rsid w:val="3E7C78E9"/>
    <w:rsid w:val="40AC7344"/>
    <w:rsid w:val="421B7D64"/>
    <w:rsid w:val="44782D86"/>
    <w:rsid w:val="46152870"/>
    <w:rsid w:val="46E971BE"/>
    <w:rsid w:val="4749647C"/>
    <w:rsid w:val="47975C19"/>
    <w:rsid w:val="493D0EE1"/>
    <w:rsid w:val="496A1363"/>
    <w:rsid w:val="49F3F5C7"/>
    <w:rsid w:val="4A5C451E"/>
    <w:rsid w:val="4A6649BF"/>
    <w:rsid w:val="4AD873B8"/>
    <w:rsid w:val="4BD554F3"/>
    <w:rsid w:val="4D943F44"/>
    <w:rsid w:val="51520277"/>
    <w:rsid w:val="523A10B6"/>
    <w:rsid w:val="53300789"/>
    <w:rsid w:val="54012D25"/>
    <w:rsid w:val="545133A0"/>
    <w:rsid w:val="547E03D8"/>
    <w:rsid w:val="54EB3CC2"/>
    <w:rsid w:val="58C95073"/>
    <w:rsid w:val="59E566C8"/>
    <w:rsid w:val="5A1457D2"/>
    <w:rsid w:val="5A9121D0"/>
    <w:rsid w:val="5B79016E"/>
    <w:rsid w:val="5BE83137"/>
    <w:rsid w:val="621D429D"/>
    <w:rsid w:val="625978FB"/>
    <w:rsid w:val="63706F37"/>
    <w:rsid w:val="680D67C2"/>
    <w:rsid w:val="69D87D83"/>
    <w:rsid w:val="6A1860EC"/>
    <w:rsid w:val="6AE516E2"/>
    <w:rsid w:val="6AEA5EDC"/>
    <w:rsid w:val="6AF17AF7"/>
    <w:rsid w:val="6BAE017C"/>
    <w:rsid w:val="6E731356"/>
    <w:rsid w:val="6ED40555"/>
    <w:rsid w:val="70223303"/>
    <w:rsid w:val="709C31F1"/>
    <w:rsid w:val="70DE3075"/>
    <w:rsid w:val="71D52745"/>
    <w:rsid w:val="72710B36"/>
    <w:rsid w:val="742835D1"/>
    <w:rsid w:val="74420229"/>
    <w:rsid w:val="74516EE2"/>
    <w:rsid w:val="7878626E"/>
    <w:rsid w:val="7893644D"/>
    <w:rsid w:val="78EE6FFE"/>
    <w:rsid w:val="7971554C"/>
    <w:rsid w:val="79C516A6"/>
    <w:rsid w:val="7A154B23"/>
    <w:rsid w:val="7AAF1560"/>
    <w:rsid w:val="7C2D7BD9"/>
    <w:rsid w:val="7D281094"/>
    <w:rsid w:val="7D5A7E61"/>
    <w:rsid w:val="7D825870"/>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rPr>
      <w:rFonts w:ascii="Courier New" w:hAnsi="Courier New" w:cs="Courier New"/>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批注框文本 字符"/>
    <w:basedOn w:val="9"/>
    <w:link w:val="2"/>
    <w:semiHidden/>
    <w:qFormat/>
    <w:uiPriority w:val="99"/>
    <w:rPr>
      <w:rFonts w:ascii="Calibri" w:hAnsi="Calibri" w:eastAsia="宋体" w:cs="Times New Roman"/>
      <w:sz w:val="18"/>
      <w:szCs w:val="18"/>
    </w:rPr>
  </w:style>
  <w:style w:type="character" w:customStyle="1" w:styleId="12">
    <w:name w:val="页眉 字符"/>
    <w:basedOn w:val="9"/>
    <w:link w:val="4"/>
    <w:qFormat/>
    <w:uiPriority w:val="99"/>
    <w:rPr>
      <w:rFonts w:ascii="Calibri" w:hAnsi="Calibri" w:eastAsia="宋体" w:cs="Times New Roman"/>
      <w:sz w:val="18"/>
      <w:szCs w:val="18"/>
    </w:rPr>
  </w:style>
  <w:style w:type="character" w:customStyle="1" w:styleId="13">
    <w:name w:val="页脚 字符"/>
    <w:basedOn w:val="9"/>
    <w:link w:val="3"/>
    <w:qFormat/>
    <w:uiPriority w:val="99"/>
    <w:rPr>
      <w:rFonts w:ascii="Calibri" w:hAnsi="Calibri"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HTML 预设格式 字符"/>
    <w:basedOn w:val="9"/>
    <w:link w:val="5"/>
    <w:semiHidden/>
    <w:qFormat/>
    <w:uiPriority w:val="99"/>
    <w:rPr>
      <w:rFonts w:ascii="Courier New" w:hAnsi="Courier New" w:eastAsia="宋体" w:cs="Courier New"/>
      <w:kern w:val="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1551</Words>
  <Characters>8847</Characters>
  <Lines>73</Lines>
  <Paragraphs>20</Paragraphs>
  <TotalTime>19</TotalTime>
  <ScaleCrop>false</ScaleCrop>
  <LinksUpToDate>false</LinksUpToDate>
  <CharactersWithSpaces>10378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ymajia</cp:lastModifiedBy>
  <cp:lastPrinted>2021-01-29T08:22:00Z</cp:lastPrinted>
  <dcterms:modified xsi:type="dcterms:W3CDTF">2025-04-25T00:38:53Z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5149E47A8A6A43B48045A4DF865745CE</vt:lpwstr>
  </property>
</Properties>
</file>