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DB1E6">
      <w:pPr>
        <w:pStyle w:val="3"/>
        <w:numPr>
          <w:ilvl w:val="0"/>
          <w:numId w:val="0"/>
        </w:numPr>
        <w:ind w:leftChars="0"/>
        <w:rPr>
          <w:rFonts w:hint="eastAsia" w:ascii="宋体" w:hAnsi="宋体" w:eastAsia="宋体" w:cs="宋体"/>
        </w:rPr>
      </w:pPr>
      <w:bookmarkStart w:id="0" w:name="_Toc6330"/>
      <w:bookmarkStart w:id="14" w:name="_GoBack"/>
      <w:bookmarkEnd w:id="14"/>
      <w:r>
        <w:rPr>
          <w:rFonts w:hint="eastAsia" w:ascii="宋体" w:hAnsi="宋体" w:eastAsia="宋体" w:cs="宋体"/>
          <w:lang w:val="en-US" w:eastAsia="zh-CN"/>
        </w:rPr>
        <w:t>采购需求</w:t>
      </w:r>
      <w:bookmarkEnd w:id="0"/>
    </w:p>
    <w:p w14:paraId="544F62BA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bookmarkStart w:id="1" w:name="bookmark47"/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291A0956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在采购活动开始前没有获准采购进口产品而开展采购活动的，视同为拒绝采购进口产品。</w:t>
      </w:r>
    </w:p>
    <w:p w14:paraId="7E44F774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中标人提供的货物为进口产品的，供货时须向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提供所投进口产品的海关报关单等证明材料。</w:t>
      </w:r>
    </w:p>
    <w:p w14:paraId="5A4E8110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原装进口的产品，如国内产品满足需求也可参与采购竞争。</w:t>
      </w:r>
    </w:p>
    <w:p w14:paraId="402E6B7E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  <w:t>一、采购需求前附表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46"/>
        <w:gridCol w:w="5264"/>
      </w:tblGrid>
      <w:tr w14:paraId="06BD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6FA80830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6C9D7594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0C317562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具体要求内容</w:t>
            </w:r>
          </w:p>
        </w:tc>
      </w:tr>
      <w:tr w14:paraId="258E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6C1FD05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785A1CF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2A2A0A6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验收合格后一次性付款</w:t>
            </w:r>
          </w:p>
        </w:tc>
      </w:tr>
      <w:tr w14:paraId="77B3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460D35AD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7179F6C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089" w:type="pct"/>
            <w:noWrap w:val="0"/>
            <w:vAlign w:val="center"/>
          </w:tcPr>
          <w:p w14:paraId="0506EA0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安庆市第二人民医院视光中心</w:t>
            </w:r>
          </w:p>
        </w:tc>
      </w:tr>
      <w:tr w14:paraId="1545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50564B94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29AF9D2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27B817A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089" w:type="pct"/>
            <w:noWrap w:val="0"/>
            <w:vAlign w:val="center"/>
          </w:tcPr>
          <w:p w14:paraId="22FA86E4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自合同签订之日起7日历天内</w:t>
            </w:r>
          </w:p>
        </w:tc>
      </w:tr>
      <w:tr w14:paraId="4A65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427ECFD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 w14:paraId="415FB793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3089" w:type="pct"/>
            <w:noWrap w:val="0"/>
            <w:vAlign w:val="center"/>
          </w:tcPr>
          <w:p w14:paraId="254D9C2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1年内</w:t>
            </w:r>
          </w:p>
        </w:tc>
      </w:tr>
    </w:tbl>
    <w:tbl>
      <w:tblPr>
        <w:tblStyle w:val="5"/>
        <w:tblpPr w:leftFromText="180" w:rightFromText="180" w:vertAnchor="text" w:horzAnchor="page" w:tblpX="1402" w:tblpY="123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00"/>
        <w:gridCol w:w="3661"/>
        <w:gridCol w:w="811"/>
        <w:gridCol w:w="811"/>
        <w:gridCol w:w="833"/>
      </w:tblGrid>
      <w:tr w14:paraId="6076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41F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2" w:name="_Toc10379"/>
            <w:bookmarkStart w:id="3" w:name="_Toc4579"/>
            <w:bookmarkStart w:id="4" w:name="_Toc490682726"/>
            <w:bookmarkStart w:id="5" w:name="_Toc20068"/>
            <w:bookmarkStart w:id="6" w:name="_Toc490682725"/>
            <w:bookmarkStart w:id="7" w:name="_Toc22728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二、货物需求表</w:t>
            </w:r>
          </w:p>
        </w:tc>
      </w:tr>
      <w:tr w14:paraId="39BF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35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CC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AB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61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5E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F6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4422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EA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18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听力计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B45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产品功能</w:t>
            </w:r>
          </w:p>
          <w:p w14:paraId="27FE76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气导、骨导、自由声场测试</w:t>
            </w:r>
          </w:p>
          <w:p w14:paraId="662A2C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纯音、啭音、脉冲音、掩蔽声、麦克风输入功能</w:t>
            </w:r>
          </w:p>
          <w:p w14:paraId="36182C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与PC软件连接，自动计算平均值和修正值。</w:t>
            </w:r>
          </w:p>
          <w:p w14:paraId="752581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2.技术参数：</w:t>
            </w:r>
          </w:p>
          <w:p w14:paraId="20552B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2.1多种操作：支持仪器单机操控模式、鼠标操控模式，电脑键盘操控模式，各操控模式在不同场景下自由切换，并实时同步。</w:t>
            </w:r>
          </w:p>
          <w:p w14:paraId="4200B4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2.2给声方式：触摸式给声、持续给声、</w:t>
            </w:r>
          </w:p>
          <w:p w14:paraId="56ECA9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安全耐用，有效降低本底噪声</w:t>
            </w:r>
          </w:p>
          <w:p w14:paraId="24D106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2.3通道：两个独立的信号通道</w:t>
            </w:r>
          </w:p>
          <w:p w14:paraId="29D6DA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sz w:val="21"/>
                <w:szCs w:val="21"/>
              </w:rPr>
              <w:t>输出接口：气导耳机、骨导耳机、自由声场</w:t>
            </w:r>
          </w:p>
          <w:p w14:paraId="5E2302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sz w:val="21"/>
                <w:szCs w:val="21"/>
              </w:rPr>
              <w:t>测试频率：气导125～8000Hz，骨导250～6000Hz，误差小于±1%</w:t>
            </w:r>
          </w:p>
          <w:p w14:paraId="151377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2.6</w:t>
            </w:r>
            <w:r>
              <w:rPr>
                <w:rFonts w:hint="eastAsia" w:ascii="宋体" w:hAnsi="宋体" w:cs="宋体"/>
                <w:sz w:val="21"/>
                <w:szCs w:val="21"/>
              </w:rPr>
              <w:t>测试气导强度范围：-10dB～120dB，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骨导</w:t>
            </w:r>
            <w:r>
              <w:rPr>
                <w:rFonts w:hint="eastAsia" w:ascii="宋体" w:hAnsi="宋体" w:cs="宋体"/>
                <w:sz w:val="21"/>
                <w:szCs w:val="21"/>
              </w:rPr>
              <w:t>强度范围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-10~70dBHL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；</w:t>
            </w:r>
          </w:p>
          <w:p w14:paraId="22F238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cs="宋体"/>
                <w:kern w:val="1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10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eastAsia" w:ascii="宋体" w:hAnsi="宋体" w:cs="宋体"/>
                <w:kern w:val="10"/>
                <w:sz w:val="21"/>
                <w:szCs w:val="21"/>
              </w:rPr>
              <w:t>失真度：气导小于</w:t>
            </w:r>
            <w:r>
              <w:rPr>
                <w:rFonts w:hint="eastAsia" w:ascii="宋体" w:hAnsi="宋体" w:cs="宋体"/>
                <w:kern w:val="1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kern w:val="10"/>
                <w:sz w:val="21"/>
                <w:szCs w:val="21"/>
              </w:rPr>
              <w:t>% 骨导小于</w:t>
            </w:r>
            <w:r>
              <w:rPr>
                <w:rFonts w:hint="eastAsia" w:ascii="宋体" w:hAnsi="宋体" w:cs="宋体"/>
                <w:kern w:val="1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10"/>
                <w:sz w:val="21"/>
                <w:szCs w:val="21"/>
              </w:rPr>
              <w:t>.5%  </w:t>
            </w:r>
          </w:p>
          <w:p w14:paraId="4C459A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10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="宋体" w:hAnsi="宋体" w:cs="宋体"/>
                <w:kern w:val="10"/>
                <w:sz w:val="21"/>
                <w:szCs w:val="21"/>
              </w:rPr>
              <w:t>测试信号：纯音、脉冲音、啭音和窄带噪声</w:t>
            </w:r>
          </w:p>
          <w:p w14:paraId="2D6E4E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2.9</w:t>
            </w:r>
            <w:r>
              <w:rPr>
                <w:rFonts w:hint="eastAsia" w:ascii="宋体" w:hAnsi="宋体" w:cs="宋体"/>
                <w:sz w:val="21"/>
                <w:szCs w:val="21"/>
              </w:rPr>
              <w:t>强度步进：自由切换5dB/1dB 步进</w:t>
            </w:r>
          </w:p>
          <w:p w14:paraId="2E34ED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cs="宋体"/>
                <w:kern w:val="1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10"/>
                <w:sz w:val="21"/>
                <w:szCs w:val="21"/>
                <w:lang w:val="en-US" w:eastAsia="zh-CN"/>
              </w:rPr>
              <w:t>2.10</w:t>
            </w:r>
            <w:r>
              <w:rPr>
                <w:rFonts w:hint="eastAsia" w:ascii="宋体" w:hAnsi="宋体" w:cs="宋体"/>
                <w:kern w:val="10"/>
                <w:sz w:val="21"/>
                <w:szCs w:val="21"/>
              </w:rPr>
              <w:t xml:space="preserve">掩蔽：气导、骨导对侧掩蔽  </w:t>
            </w:r>
          </w:p>
          <w:p w14:paraId="7DC785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2.11</w:t>
            </w:r>
            <w:r>
              <w:rPr>
                <w:rFonts w:hint="eastAsia" w:ascii="宋体" w:hAnsi="宋体" w:cs="宋体"/>
                <w:sz w:val="21"/>
                <w:szCs w:val="21"/>
              </w:rPr>
              <w:t>掩蔽准确度：-3dB～+5dB</w:t>
            </w:r>
          </w:p>
          <w:p w14:paraId="70BBAA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对讲：内置麦克风功能，测试者可对被试者进行指导，音量可调；</w:t>
            </w:r>
          </w:p>
          <w:p w14:paraId="5079CF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电脑接口：通用 USB 传输接口</w:t>
            </w:r>
          </w:p>
          <w:p w14:paraId="617054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显示屏：4.3英寸高清彩色触摸屏</w:t>
            </w:r>
          </w:p>
          <w:p w14:paraId="079398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.14保护功能：保护受试者听力不受损害，符合声学安全要求</w:t>
            </w:r>
          </w:p>
          <w:p w14:paraId="443A0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2.15配备手提包，方便客户出外检测</w:t>
            </w:r>
          </w:p>
          <w:p w14:paraId="1F66D3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2.16软件功能： </w:t>
            </w:r>
          </w:p>
          <w:p w14:paraId="14E023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（1）个性化报告设置：多种报告表头模板可供选择，报告参数自由组合</w:t>
            </w:r>
          </w:p>
          <w:p w14:paraId="2FCD9F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（2）通过工作站可自定义单位名称，单位logo，用户信息，医生电子签名等功能，</w:t>
            </w:r>
          </w:p>
          <w:p w14:paraId="199C1F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（3）语言：单机使用和配备电脑使用均为中文操作界面</w:t>
            </w:r>
          </w:p>
          <w:p w14:paraId="1ED080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（4）可自定义选择气导，骨导需要测试频率，</w:t>
            </w:r>
          </w:p>
          <w:p w14:paraId="47C24B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（5）气导，骨导 PTA可采用世界卫生组织(WHO)标准和美国国家标准协会(ANSI)标准计算方式自由选择</w:t>
            </w:r>
          </w:p>
          <w:p w14:paraId="713E6C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（6）存储：可将测试结果和听力图根据不同格式保存至PC端，方便客户随时查看</w:t>
            </w:r>
          </w:p>
          <w:p w14:paraId="7DFC0C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（7）可根据操作需要左右互换听力图显示</w:t>
            </w:r>
          </w:p>
          <w:p w14:paraId="1AC0C1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2.17数据传输功能：</w:t>
            </w:r>
          </w:p>
          <w:p w14:paraId="335D078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="560" w:hanging="420" w:hangingChars="200"/>
              <w:textAlignment w:val="auto"/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  <w:t>数据对接：</w:t>
            </w:r>
            <w:bookmarkStart w:id="8" w:name="OLE_LINK2"/>
            <w:bookmarkStart w:id="9" w:name="OLE_LINK1"/>
          </w:p>
          <w:p w14:paraId="2197FC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/>
                <w:sz w:val="21"/>
                <w:szCs w:val="21"/>
              </w:rPr>
              <w:t>免费开放端口与医院</w:t>
            </w: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  <w:t>体检系统</w:t>
            </w:r>
            <w:r>
              <w:rPr>
                <w:rFonts w:hint="eastAsia" w:ascii="宋体" w:hAnsi="宋体" w:cs="宋体"/>
                <w:color w:val="000000"/>
                <w:kern w:val="10"/>
                <w:sz w:val="21"/>
                <w:szCs w:val="21"/>
              </w:rPr>
              <w:t>对接、</w:t>
            </w:r>
            <w:r>
              <w:rPr>
                <w:rFonts w:hint="eastAsia" w:ascii="宋体" w:hAnsi="宋体" w:cs="宋体"/>
                <w:color w:val="000000"/>
                <w:kern w:val="10"/>
                <w:sz w:val="21"/>
                <w:szCs w:val="21"/>
                <w:lang w:val="en-US" w:eastAsia="zh-CN"/>
              </w:rPr>
              <w:t>支持</w:t>
            </w:r>
            <w:r>
              <w:rPr>
                <w:rFonts w:hint="eastAsia" w:ascii="宋体" w:hAnsi="宋体" w:cs="宋体"/>
                <w:color w:val="000000"/>
                <w:kern w:val="10"/>
                <w:sz w:val="21"/>
                <w:szCs w:val="21"/>
              </w:rPr>
              <w:t>多种数据库对接，</w:t>
            </w: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  <w:t>并实时传输数据与报告。</w:t>
            </w:r>
          </w:p>
          <w:p w14:paraId="0ED99C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kern w:val="1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10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  <w:t>支持从体检系统导入或者通过扫描二维码输入受试者信息；</w:t>
            </w:r>
            <w:r>
              <w:rPr>
                <w:rFonts w:hint="eastAsia" w:ascii="宋体" w:hAnsi="宋体" w:cs="宋体"/>
                <w:color w:val="000000"/>
                <w:kern w:val="10"/>
                <w:sz w:val="21"/>
                <w:szCs w:val="21"/>
              </w:rPr>
              <w:t>并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可根据用户选配听力数据模块，满足客户不同需求</w:t>
            </w:r>
            <w:bookmarkEnd w:id="8"/>
            <w:bookmarkEnd w:id="9"/>
          </w:p>
          <w:p w14:paraId="1247B0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eastAsia" w:ascii="宋体" w:hAnsi="宋体" w:cs="宋体"/>
                <w:color w:val="000000"/>
                <w:kern w:val="10"/>
                <w:sz w:val="21"/>
                <w:szCs w:val="21"/>
              </w:rPr>
              <w:t>根据《GBT 7582-2004 声学 听阈与年龄关系的统计分布》和《GBZ 49-2004 职业病噪声聋诊断》，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1"/>
                <w:szCs w:val="21"/>
              </w:rPr>
              <w:t>配置年龄性别修正、</w:t>
            </w:r>
            <w:r>
              <w:rPr>
                <w:rFonts w:hint="eastAsia" w:ascii="宋体" w:hAnsi="宋体"/>
                <w:color w:val="000000"/>
                <w:kern w:val="10"/>
                <w:sz w:val="21"/>
                <w:szCs w:val="21"/>
              </w:rPr>
              <w:t>单/双耳高频平均听阈，双耳语频平均听阈，单耳听阈加权值等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1"/>
                <w:szCs w:val="21"/>
              </w:rPr>
              <w:t>职业病计算功能。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62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2858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C053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1A47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4595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说明：投标人的投标文件必须标明所投货物的品牌与参数，保证原厂正品供货，提供相关资料等。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404E6C1A">
      <w:pPr>
        <w:spacing w:line="360" w:lineRule="auto"/>
        <w:ind w:firstLine="422" w:firstLineChars="200"/>
        <w:outlineLvl w:val="1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  <w:bookmarkStart w:id="10" w:name="_Toc15293"/>
      <w:bookmarkStart w:id="11" w:name="_Toc14698"/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、其他要求</w:t>
      </w:r>
      <w:bookmarkEnd w:id="10"/>
      <w:bookmarkEnd w:id="11"/>
    </w:p>
    <w:p w14:paraId="0438DE46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1、人员培训要求：</w:t>
      </w:r>
      <w:r>
        <w:rPr>
          <w:rFonts w:hint="eastAsia" w:ascii="宋体" w:hAnsi="宋体"/>
          <w:color w:val="auto"/>
          <w:szCs w:val="21"/>
          <w:highlight w:val="none"/>
        </w:rPr>
        <w:t>货物安装、调试、验收合格后，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中标人</w:t>
      </w:r>
      <w:r>
        <w:rPr>
          <w:rFonts w:hint="eastAsia" w:ascii="宋体" w:hAnsi="宋体"/>
          <w:color w:val="auto"/>
          <w:szCs w:val="21"/>
          <w:highlight w:val="none"/>
        </w:rPr>
        <w:t>应对采购人的相关人员进行免费现场培训。培训内容包括基本操作、保养维修、常见故障及解决办法等。</w:t>
      </w:r>
    </w:p>
    <w:p w14:paraId="4FAB527F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、货物质量：中标人提供的货物必须是全新、原装、合格正品，完全符合国家规定的质量标准和厂方的标准。货物完好，配件齐全。</w:t>
      </w:r>
    </w:p>
    <w:p w14:paraId="59CFEE82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、保修及售后服务：依据商品的保修条款及售后服务条款，提供原厂质保，质保期按照国家规定，且不低于所供</w:t>
      </w:r>
      <w:bookmarkStart w:id="12" w:name="_Toc6897"/>
      <w:bookmarkStart w:id="13" w:name="_Toc10710"/>
      <w:r>
        <w:rPr>
          <w:rFonts w:hint="eastAsia" w:ascii="宋体" w:hAnsi="宋体"/>
          <w:color w:val="auto"/>
          <w:szCs w:val="21"/>
          <w:highlight w:val="none"/>
        </w:rPr>
        <w:t>品牌向用户承诺的质保期限，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谈判 文件</w:t>
      </w:r>
      <w:r>
        <w:rPr>
          <w:rFonts w:hint="eastAsia" w:ascii="宋体" w:hAnsi="宋体"/>
          <w:color w:val="auto"/>
          <w:szCs w:val="21"/>
          <w:highlight w:val="none"/>
        </w:rPr>
        <w:t>另有约定的从其约定。质保期从货物验收合格后算起。</w:t>
      </w:r>
    </w:p>
    <w:p w14:paraId="3E21FAD3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4、验收：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中标人和采购人双方共同实施验收工作，结果和验收报告经双方确认后生效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。</w:t>
      </w:r>
    </w:p>
    <w:bookmarkEnd w:id="12"/>
    <w:bookmarkEnd w:id="13"/>
    <w:p w14:paraId="2C99DDFA">
      <w:pPr>
        <w:widowControl/>
        <w:jc w:val="left"/>
        <w:rPr>
          <w:rFonts w:hint="eastAsia" w:ascii="宋体" w:hAnsi="宋体" w:eastAsia="宋体" w:cs="宋体"/>
          <w:szCs w:val="21"/>
        </w:rPr>
      </w:pPr>
    </w:p>
    <w:p w14:paraId="144C5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93BE3"/>
    <w:rsid w:val="1DD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Plain Text"/>
    <w:basedOn w:val="1"/>
    <w:next w:val="1"/>
    <w:uiPriority w:val="0"/>
    <w:rPr>
      <w:rFonts w:ascii="宋体" w:hAnsi="Courier New"/>
      <w:szCs w:val="20"/>
    </w:rPr>
  </w:style>
  <w:style w:type="paragraph" w:customStyle="1" w:styleId="7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2025-05-14T01:03:00Z</dcterms:created>
  <dc:creator>BLUE</dc:creator>
  <cp:lastModifiedBy>BLUE</cp:lastModifiedBy>
  <dcterms:modified xsi:type="dcterms:W3CDTF">2025-05-14T01:03:27Z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6261A27232DB4E4481A860261FB3E76D_11</vt:lpwstr>
  </property>
  <property fmtid="{D5CDD505-2E9C-101B-9397-08002B2CF9AE}" pid="4" name="KSOTemplateDocerSaveRecord">
    <vt:lpwstr>eyJoZGlkIjoiYTJjYjZjNWUwNmUwOTY3ZTE3YzZhZmNmOWMyOGYxNTgiLCJ1c2VySWQiOiI2MzQ3MTk0ODQifQ==</vt:lpwstr>
  </property>
</Properties>
</file>