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7E1D7">
      <w:pPr>
        <w:pStyle w:val="3"/>
        <w:numPr>
          <w:ilvl w:val="0"/>
          <w:numId w:val="0"/>
        </w:numPr>
        <w:ind w:left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采购需求</w:t>
      </w:r>
    </w:p>
    <w:p w14:paraId="530D24B7">
      <w:pPr>
        <w:pageBreakBefore w:val="0"/>
        <w:widowControl/>
        <w:kinsoku/>
        <w:overflowPunct/>
        <w:topLinePunct w:val="0"/>
        <w:bidi w:val="0"/>
        <w:snapToGrid/>
        <w:spacing w:line="420" w:lineRule="exact"/>
        <w:ind w:firstLine="430"/>
        <w:jc w:val="left"/>
        <w:textAlignment w:val="auto"/>
        <w:rPr>
          <w:rFonts w:hint="eastAsia" w:ascii="宋体" w:hAnsi="宋体" w:eastAsia="宋体" w:cs="宋体"/>
          <w:b/>
          <w:bCs/>
          <w:color w:val="auto"/>
          <w:sz w:val="21"/>
          <w:szCs w:val="21"/>
          <w:highlight w:val="none"/>
        </w:rPr>
      </w:pPr>
      <w:bookmarkStart w:id="0" w:name="bookmark47"/>
      <w:r>
        <w:rPr>
          <w:rFonts w:hint="eastAsia" w:ascii="宋体" w:hAnsi="宋体" w:eastAsia="宋体" w:cs="宋体"/>
          <w:b/>
          <w:bCs/>
          <w:color w:val="auto"/>
          <w:sz w:val="21"/>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招标文件的相关要求，并说明调整理由，且该调整须经评委会审核认可。</w:t>
      </w:r>
    </w:p>
    <w:p w14:paraId="46A0344D">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在采购活动开始前没有获准采购进口产品而开展采购活动的，视同为拒绝采购进口产品。</w:t>
      </w:r>
    </w:p>
    <w:p w14:paraId="6D53040C">
      <w:pPr>
        <w:pageBreakBefore w:val="0"/>
        <w:widowControl/>
        <w:kinsoku/>
        <w:overflowPunct/>
        <w:topLinePunct w:val="0"/>
        <w:bidi w:val="0"/>
        <w:snapToGrid/>
        <w:spacing w:line="420" w:lineRule="exact"/>
        <w:ind w:firstLine="405"/>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中标人提供的货物为进口产品的，供货时须向</w:t>
      </w:r>
      <w:r>
        <w:rPr>
          <w:rFonts w:hint="eastAsia" w:ascii="宋体" w:hAnsi="宋体" w:eastAsia="宋体" w:cs="宋体"/>
          <w:b/>
          <w:bCs/>
          <w:color w:val="auto"/>
          <w:sz w:val="21"/>
          <w:szCs w:val="21"/>
          <w:highlight w:val="none"/>
          <w:lang w:eastAsia="zh-CN"/>
        </w:rPr>
        <w:t>招标人</w:t>
      </w:r>
      <w:r>
        <w:rPr>
          <w:rFonts w:hint="eastAsia" w:ascii="宋体" w:hAnsi="宋体" w:eastAsia="宋体" w:cs="宋体"/>
          <w:b/>
          <w:bCs/>
          <w:color w:val="auto"/>
          <w:sz w:val="21"/>
          <w:szCs w:val="21"/>
          <w:highlight w:val="none"/>
        </w:rPr>
        <w:t>提供所投进口产品的海关报关单等证明材料。</w:t>
      </w:r>
    </w:p>
    <w:p w14:paraId="1C0BD0D0">
      <w:pPr>
        <w:pageBreakBefore w:val="0"/>
        <w:kinsoku/>
        <w:overflowPunct/>
        <w:topLinePunct w:val="0"/>
        <w:bidi w:val="0"/>
        <w:snapToGrid/>
        <w:spacing w:line="42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原装进口的产品，如国内产品满足需求也可参与采购竞争。</w:t>
      </w:r>
    </w:p>
    <w:p w14:paraId="7205A046">
      <w:pPr>
        <w:pageBreakBefore w:val="0"/>
        <w:kinsoku/>
        <w:overflowPunct/>
        <w:topLinePunct w:val="0"/>
        <w:bidi w:val="0"/>
        <w:snapToGrid/>
        <w:spacing w:line="420" w:lineRule="exact"/>
        <w:ind w:firstLine="422" w:firstLineChars="200"/>
        <w:textAlignment w:val="auto"/>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一、采购需求前附表</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6"/>
        <w:gridCol w:w="5264"/>
      </w:tblGrid>
      <w:tr w14:paraId="4586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B98F943">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94" w:type="pct"/>
            <w:noWrap w:val="0"/>
            <w:vAlign w:val="center"/>
          </w:tcPr>
          <w:p w14:paraId="45A43FC7">
            <w:pPr>
              <w:pStyle w:val="5"/>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商务条款名称</w:t>
            </w:r>
          </w:p>
        </w:tc>
        <w:tc>
          <w:tcPr>
            <w:tcW w:w="3089" w:type="pct"/>
            <w:noWrap w:val="0"/>
            <w:vAlign w:val="center"/>
          </w:tcPr>
          <w:p w14:paraId="07C7B789">
            <w:pPr>
              <w:pStyle w:val="5"/>
              <w:pageBreakBefore w:val="0"/>
              <w:kinsoku/>
              <w:overflowPunct/>
              <w:topLinePunct w:val="0"/>
              <w:bidi w:val="0"/>
              <w:snapToGrid/>
              <w:spacing w:line="4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7865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60C47651">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94" w:type="pct"/>
            <w:noWrap w:val="0"/>
            <w:vAlign w:val="center"/>
          </w:tcPr>
          <w:p w14:paraId="06BD72A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089" w:type="pct"/>
            <w:noWrap w:val="0"/>
            <w:vAlign w:val="center"/>
          </w:tcPr>
          <w:p w14:paraId="49DD8B1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使用六个月后付款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中标人出具正规发票。</w:t>
            </w:r>
          </w:p>
        </w:tc>
      </w:tr>
      <w:tr w14:paraId="4871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6039AF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94" w:type="pct"/>
            <w:noWrap w:val="0"/>
            <w:vAlign w:val="center"/>
          </w:tcPr>
          <w:p w14:paraId="7F23829D">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供货及安装地点</w:t>
            </w:r>
          </w:p>
        </w:tc>
        <w:tc>
          <w:tcPr>
            <w:tcW w:w="3089" w:type="pct"/>
            <w:noWrap w:val="0"/>
            <w:vAlign w:val="center"/>
          </w:tcPr>
          <w:p w14:paraId="642B595E">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安庆市第二人民医院</w:t>
            </w:r>
            <w:r>
              <w:rPr>
                <w:rFonts w:hint="eastAsia" w:ascii="宋体" w:hAnsi="宋体" w:eastAsia="宋体" w:cs="宋体"/>
                <w:color w:val="auto"/>
                <w:sz w:val="21"/>
                <w:szCs w:val="21"/>
                <w:highlight w:val="none"/>
                <w:lang w:val="en-US" w:eastAsia="zh-CN"/>
              </w:rPr>
              <w:t>手术麻醉科</w:t>
            </w:r>
          </w:p>
        </w:tc>
      </w:tr>
      <w:tr w14:paraId="2C68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15" w:type="pct"/>
            <w:noWrap w:val="0"/>
            <w:vAlign w:val="center"/>
          </w:tcPr>
          <w:p w14:paraId="3DDD1425">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94" w:type="pct"/>
            <w:noWrap w:val="0"/>
            <w:vAlign w:val="center"/>
          </w:tcPr>
          <w:p w14:paraId="670EF68C">
            <w:pPr>
              <w:pageBreakBefore w:val="0"/>
              <w:kinsoku/>
              <w:overflowPunct/>
              <w:topLinePunct w:val="0"/>
              <w:bidi w:val="0"/>
              <w:snapToGrid/>
              <w:spacing w:line="4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交货、安装、调试期</w:t>
            </w:r>
          </w:p>
          <w:p w14:paraId="6727F49A">
            <w:pPr>
              <w:pageBreakBefore w:val="0"/>
              <w:kinsoku/>
              <w:overflowPunct/>
              <w:topLinePunct w:val="0"/>
              <w:bidi w:val="0"/>
              <w:snapToGrid/>
              <w:spacing w:line="420" w:lineRule="exact"/>
              <w:jc w:val="center"/>
              <w:textAlignment w:val="auto"/>
              <w:rPr>
                <w:rFonts w:hint="eastAsia"/>
                <w:color w:val="auto"/>
                <w:highlight w:val="none"/>
              </w:rPr>
            </w:pPr>
            <w:r>
              <w:rPr>
                <w:rFonts w:hint="eastAsia" w:ascii="宋体" w:hAnsi="宋体" w:eastAsia="宋体" w:cs="宋体"/>
                <w:color w:val="auto"/>
                <w:sz w:val="21"/>
                <w:szCs w:val="21"/>
                <w:highlight w:val="none"/>
                <w:lang w:val="en-US" w:eastAsia="zh-CN"/>
              </w:rPr>
              <w:t>（即合同履行期限）</w:t>
            </w:r>
          </w:p>
        </w:tc>
        <w:tc>
          <w:tcPr>
            <w:tcW w:w="3089" w:type="pct"/>
            <w:noWrap w:val="0"/>
            <w:vAlign w:val="center"/>
          </w:tcPr>
          <w:p w14:paraId="433B33A9">
            <w:pPr>
              <w:pageBreakBefore w:val="0"/>
              <w:kinsoku/>
              <w:overflowPunct/>
              <w:topLinePunct w:val="0"/>
              <w:bidi w:val="0"/>
              <w:snapToGrid/>
              <w:spacing w:line="4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供货期自合同签订之日起三年或采购费用总额达到该本项目总中标价时，以先到者为准，在供货期内按照采购人的要求分批供货，据实结算。</w:t>
            </w:r>
          </w:p>
        </w:tc>
      </w:tr>
    </w:tbl>
    <w:p w14:paraId="3DFB6B74">
      <w:pPr>
        <w:pStyle w:val="4"/>
        <w:pageBreakBefore w:val="0"/>
        <w:numPr>
          <w:ilvl w:val="0"/>
          <w:numId w:val="0"/>
        </w:numPr>
        <w:kinsoku/>
        <w:overflowPunct/>
        <w:topLinePunct w:val="0"/>
        <w:bidi w:val="0"/>
        <w:snapToGrid/>
        <w:spacing w:line="420" w:lineRule="exact"/>
        <w:ind w:firstLine="422" w:firstLineChars="200"/>
        <w:textAlignment w:val="auto"/>
        <w:rPr>
          <w:rFonts w:hint="eastAsia" w:ascii="宋体" w:hAnsi="宋体" w:eastAsia="宋体" w:cs="宋体"/>
          <w:bCs/>
          <w:color w:val="auto"/>
          <w:sz w:val="21"/>
          <w:szCs w:val="21"/>
          <w:highlight w:val="none"/>
        </w:rPr>
      </w:pPr>
      <w:bookmarkStart w:id="1" w:name="_Toc22728"/>
      <w:bookmarkStart w:id="2" w:name="_Toc20068"/>
      <w:bookmarkStart w:id="3" w:name="_Toc490682725"/>
      <w:bookmarkStart w:id="4" w:name="_Toc10379"/>
      <w:r>
        <w:rPr>
          <w:rFonts w:hint="eastAsia" w:ascii="宋体" w:hAnsi="宋体" w:eastAsia="宋体" w:cs="宋体"/>
          <w:bCs/>
          <w:color w:val="auto"/>
          <w:sz w:val="21"/>
          <w:szCs w:val="21"/>
          <w:highlight w:val="none"/>
          <w:lang w:val="en-US" w:eastAsia="zh-CN"/>
        </w:rPr>
        <w:t>二、货物需求</w:t>
      </w:r>
      <w:bookmarkEnd w:id="1"/>
      <w:bookmarkEnd w:id="2"/>
      <w:bookmarkEnd w:id="3"/>
      <w:bookmarkEnd w:id="4"/>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72"/>
        <w:gridCol w:w="4361"/>
        <w:gridCol w:w="630"/>
        <w:gridCol w:w="691"/>
        <w:gridCol w:w="870"/>
      </w:tblGrid>
      <w:tr w14:paraId="279F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E5007FE">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bookmarkStart w:id="5" w:name="_Toc4579"/>
            <w:bookmarkStart w:id="6" w:name="_Toc490682726"/>
            <w:r>
              <w:rPr>
                <w:rFonts w:hint="eastAsia" w:ascii="宋体" w:hAnsi="宋体" w:eastAsia="宋体" w:cs="宋体"/>
                <w:color w:val="auto"/>
                <w:kern w:val="0"/>
                <w:sz w:val="21"/>
                <w:szCs w:val="21"/>
                <w:highlight w:val="none"/>
              </w:rPr>
              <w:t>序号</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61B6793A">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货物名称</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17464141">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技术参数</w:t>
            </w:r>
            <w:r>
              <w:rPr>
                <w:rFonts w:hint="eastAsia" w:ascii="宋体" w:hAnsi="宋体" w:eastAsia="宋体" w:cs="宋体"/>
                <w:color w:val="auto"/>
                <w:kern w:val="0"/>
                <w:sz w:val="21"/>
                <w:szCs w:val="21"/>
                <w:highlight w:val="none"/>
                <w:lang w:val="en-US" w:eastAsia="zh-CN"/>
              </w:rPr>
              <w:t>要求</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65D0B827">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690B3625">
            <w:pPr>
              <w:pageBreakBefore w:val="0"/>
              <w:widowControl/>
              <w:kinsoku/>
              <w:overflowPunct/>
              <w:topLinePunct w:val="0"/>
              <w:bidi w:val="0"/>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0AD37831">
            <w:pPr>
              <w:pageBreakBefore w:val="0"/>
              <w:widowControl/>
              <w:kinsoku/>
              <w:overflowPunct/>
              <w:topLinePunct w:val="0"/>
              <w:bidi w:val="0"/>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单价上限（元）</w:t>
            </w:r>
          </w:p>
        </w:tc>
      </w:tr>
      <w:tr w14:paraId="1006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0470E83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7805147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双腔支气管插管</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97ECABA">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1.适用范围:供临床麻醉时建立单双肺隔离通气道用。</w:t>
            </w:r>
          </w:p>
          <w:p w14:paraId="486DF646">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2.功能用途:用于麻醉时建立单双肺隔离通气道。</w:t>
            </w:r>
          </w:p>
          <w:p w14:paraId="756136F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3.基本性能:</w:t>
            </w:r>
          </w:p>
          <w:p w14:paraId="55D11FE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3.1 规格齐全：Fr26、Fr28、Fr31、Fr32、Fr33、Fr35、Fr37、Fr39、Fr41；</w:t>
            </w:r>
          </w:p>
          <w:p w14:paraId="046E3694">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充气阀标准：鲁尔接头标准；</w:t>
            </w:r>
          </w:p>
          <w:p w14:paraId="50423E2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管体弧度与人体解剖结构高度吻合；</w:t>
            </w:r>
          </w:p>
          <w:p w14:paraId="3F6345B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不含DEHP;</w:t>
            </w:r>
          </w:p>
          <w:p w14:paraId="3856908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 高容低压套囊，降低对患者气管、支气管的损伤；</w:t>
            </w:r>
          </w:p>
          <w:p w14:paraId="76D7B4B3">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  X光显影贯穿管身；</w:t>
            </w:r>
          </w:p>
          <w:p w14:paraId="4C7B9C4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 配件同色设计，便于功能识别；支气管套囊为深蓝色，便于纤支镜识别；</w:t>
            </w:r>
          </w:p>
          <w:p w14:paraId="6589085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 由支气管、呼吸道用吸引导管、多功能接头组成；多功能接头便于通气管理；</w:t>
            </w:r>
          </w:p>
          <w:p w14:paraId="1E0D788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 支气管段内腔截面呈圆形，便于纤支镜通过；</w:t>
            </w:r>
          </w:p>
          <w:p w14:paraId="16025D7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3.10 气管套囊和支气管套囊应承受3KPa的正压力不破损；</w:t>
            </w:r>
          </w:p>
          <w:p w14:paraId="3F0BE92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 支气管的四通、延长管、管体应连接牢固，在施压15N的静压力作用下，持续15S，各连接处不应分离或脱落；</w:t>
            </w:r>
          </w:p>
          <w:p w14:paraId="57B0680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 右侧型双腔管：支气管段与气管段夹角为145°±20°，气管段弯曲夹角：140°±20°；</w:t>
            </w:r>
          </w:p>
          <w:p w14:paraId="53FF060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13</w:t>
            </w:r>
            <w:r>
              <w:rPr>
                <w:rFonts w:hint="eastAsia" w:ascii="宋体" w:hAnsi="宋体" w:eastAsia="宋体" w:cs="宋体"/>
                <w:sz w:val="21"/>
                <w:szCs w:val="21"/>
              </w:rPr>
              <w:t xml:space="preserve"> 左侧型双腔管：支气管段与气管段夹角为135°±20°，气管段弯曲夹角：140°±20°</w:t>
            </w:r>
            <w:r>
              <w:rPr>
                <w:rFonts w:hint="eastAsia" w:ascii="宋体" w:hAnsi="宋体" w:eastAsia="宋体" w:cs="宋体"/>
                <w:sz w:val="21"/>
                <w:szCs w:val="21"/>
                <w:lang w:val="en-US" w:eastAsia="zh-CN"/>
              </w:rPr>
              <w:t>；</w:t>
            </w:r>
          </w:p>
          <w:p w14:paraId="4306417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3.14支气管插管充气系统应密封，在承受3KPa正压下，持续10s，支气管不得有漏气情况；</w:t>
            </w:r>
          </w:p>
          <w:p w14:paraId="0834FC7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 采用环氧乙烷灭菌，残留量应不大于10ug/g；</w:t>
            </w:r>
          </w:p>
          <w:p w14:paraId="71D39A9C">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3.16 双腔支气管插管应无菌。</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4A8A173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6FB3E12">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982D7A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267.5</w:t>
            </w:r>
          </w:p>
        </w:tc>
      </w:tr>
      <w:tr w14:paraId="0427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26D8A8AA">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2</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02C20AA0">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一次性取石网篮</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434A488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用于取出胆管或消化道内异物取出</w:t>
            </w:r>
            <w:r>
              <w:rPr>
                <w:rFonts w:hint="eastAsia" w:ascii="宋体" w:hAnsi="宋体" w:eastAsia="宋体" w:cs="宋体"/>
                <w:sz w:val="21"/>
                <w:szCs w:val="21"/>
                <w:lang w:val="en-US" w:eastAsia="zh-CN"/>
              </w:rPr>
              <w:t>；</w:t>
            </w:r>
          </w:p>
          <w:p w14:paraId="6E01207E">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取石网篮由导引头(06Cr17Ni12Mo2)、网篮外管(PTFE)，拉索(06Cr19Ni10、NiTi)、护套管(聚氨酯)、(06Cr19Ni10)前手柄(ABS)、密封圈(硅橡胶)、后手柄(ABS</w:t>
            </w:r>
            <w:r>
              <w:rPr>
                <w:rFonts w:hint="eastAsia" w:ascii="宋体" w:hAnsi="宋体" w:eastAsia="宋体" w:cs="宋体"/>
                <w:sz w:val="21"/>
                <w:szCs w:val="21"/>
                <w:lang w:eastAsia="zh-CN"/>
              </w:rPr>
              <w:t>）、</w:t>
            </w:r>
            <w:r>
              <w:rPr>
                <w:rFonts w:hint="eastAsia" w:ascii="宋体" w:hAnsi="宋体" w:eastAsia="宋体" w:cs="宋体"/>
                <w:sz w:val="21"/>
                <w:szCs w:val="21"/>
              </w:rPr>
              <w:t>保护套(PTFE)组成</w:t>
            </w:r>
            <w:r>
              <w:rPr>
                <w:rFonts w:hint="eastAsia" w:ascii="宋体" w:hAnsi="宋体" w:eastAsia="宋体" w:cs="宋体"/>
                <w:sz w:val="21"/>
                <w:szCs w:val="21"/>
                <w:lang w:eastAsia="zh-CN"/>
              </w:rPr>
              <w:t>。</w:t>
            </w:r>
          </w:p>
          <w:p w14:paraId="6DC76355">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网篮形状具备钻石型、螺旋型、半圆型、无头型</w:t>
            </w:r>
            <w:r>
              <w:rPr>
                <w:rFonts w:hint="eastAsia" w:ascii="宋体" w:hAnsi="宋体" w:eastAsia="宋体" w:cs="宋体"/>
                <w:sz w:val="21"/>
                <w:szCs w:val="21"/>
                <w:lang w:val="en-US" w:eastAsia="zh-CN"/>
              </w:rPr>
              <w:t>；</w:t>
            </w:r>
          </w:p>
          <w:p w14:paraId="509CA92A">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外管直径：1.0mm、</w:t>
            </w:r>
            <w:bookmarkStart w:id="13" w:name="_GoBack"/>
            <w:bookmarkEnd w:id="13"/>
            <w:r>
              <w:rPr>
                <w:rFonts w:hint="eastAsia" w:ascii="宋体" w:hAnsi="宋体" w:eastAsia="宋体" w:cs="宋体"/>
                <w:sz w:val="21"/>
                <w:szCs w:val="21"/>
              </w:rPr>
              <w:t>1.8mm、2.3mm、2.6mm</w:t>
            </w:r>
            <w:r>
              <w:rPr>
                <w:rFonts w:hint="eastAsia" w:ascii="宋体" w:hAnsi="宋体" w:eastAsia="宋体" w:cs="宋体"/>
                <w:sz w:val="21"/>
                <w:szCs w:val="21"/>
                <w:lang w:val="en-US" w:eastAsia="zh-CN"/>
              </w:rPr>
              <w:t>；</w:t>
            </w:r>
          </w:p>
          <w:p w14:paraId="1E960F3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网篮开</w:t>
            </w:r>
            <w:r>
              <w:rPr>
                <w:rFonts w:hint="eastAsia" w:ascii="宋体" w:hAnsi="宋体" w:eastAsia="宋体" w:cs="宋体"/>
                <w:sz w:val="21"/>
                <w:szCs w:val="21"/>
                <w:lang w:val="en-US" w:eastAsia="zh-CN"/>
              </w:rPr>
              <w:t>幅</w:t>
            </w:r>
            <w:r>
              <w:rPr>
                <w:rFonts w:hint="eastAsia" w:ascii="宋体" w:hAnsi="宋体" w:eastAsia="宋体" w:cs="宋体"/>
                <w:sz w:val="21"/>
                <w:szCs w:val="21"/>
              </w:rPr>
              <w:t>：</w:t>
            </w:r>
            <w:r>
              <w:rPr>
                <w:rFonts w:hint="eastAsia" w:ascii="宋体" w:hAnsi="宋体" w:eastAsia="宋体" w:cs="宋体"/>
                <w:sz w:val="21"/>
                <w:szCs w:val="21"/>
                <w:lang w:val="en-US" w:eastAsia="zh-CN"/>
              </w:rPr>
              <w:t>最小开幅≤</w:t>
            </w:r>
            <w:r>
              <w:rPr>
                <w:rFonts w:hint="eastAsia" w:ascii="宋体" w:hAnsi="宋体" w:eastAsia="宋体" w:cs="宋体"/>
                <w:sz w:val="21"/>
                <w:szCs w:val="21"/>
              </w:rPr>
              <w:t>9</w:t>
            </w:r>
            <w:r>
              <w:rPr>
                <w:rFonts w:hint="eastAsia" w:ascii="宋体" w:hAnsi="宋体" w:eastAsia="宋体" w:cs="宋体"/>
                <w:sz w:val="21"/>
                <w:szCs w:val="21"/>
                <w:lang w:val="en-US" w:eastAsia="zh-CN"/>
              </w:rPr>
              <w:t>mm</w:t>
            </w:r>
            <w:r>
              <w:rPr>
                <w:rFonts w:hint="eastAsia" w:ascii="宋体" w:hAnsi="宋体" w:eastAsia="宋体" w:cs="宋体"/>
                <w:sz w:val="21"/>
                <w:szCs w:val="21"/>
              </w:rPr>
              <w:t>～</w:t>
            </w:r>
            <w:r>
              <w:rPr>
                <w:rFonts w:hint="eastAsia" w:ascii="宋体" w:hAnsi="宋体" w:eastAsia="宋体" w:cs="宋体"/>
                <w:sz w:val="21"/>
                <w:szCs w:val="21"/>
                <w:lang w:val="en-US" w:eastAsia="zh-CN"/>
              </w:rPr>
              <w:t>最大开幅</w:t>
            </w:r>
            <w:r>
              <w:rPr>
                <w:rFonts w:hint="eastAsia" w:ascii="宋体" w:hAnsi="宋体" w:eastAsia="宋体" w:cs="宋体"/>
                <w:sz w:val="21"/>
                <w:szCs w:val="21"/>
              </w:rPr>
              <w:t>≥45mm</w:t>
            </w:r>
            <w:r>
              <w:rPr>
                <w:rFonts w:hint="eastAsia" w:ascii="宋体" w:hAnsi="宋体" w:eastAsia="宋体" w:cs="宋体"/>
                <w:sz w:val="21"/>
                <w:szCs w:val="21"/>
                <w:lang w:val="en-US" w:eastAsia="zh-CN"/>
              </w:rPr>
              <w:t>；</w:t>
            </w:r>
          </w:p>
          <w:p w14:paraId="3BE47BEF">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工作长度：700mm、1200mm、1800mm、2000mm</w:t>
            </w:r>
            <w:r>
              <w:rPr>
                <w:rFonts w:hint="eastAsia" w:ascii="宋体" w:hAnsi="宋体" w:eastAsia="宋体" w:cs="宋体"/>
                <w:sz w:val="21"/>
                <w:szCs w:val="21"/>
                <w:lang w:val="en-US" w:eastAsia="zh-CN"/>
              </w:rPr>
              <w:t>；</w:t>
            </w:r>
          </w:p>
          <w:p w14:paraId="65EC5E5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7、篮</w:t>
            </w:r>
            <w:r>
              <w:rPr>
                <w:rFonts w:hint="eastAsia" w:ascii="宋体" w:hAnsi="宋体" w:eastAsia="宋体" w:cs="宋体"/>
                <w:sz w:val="21"/>
                <w:szCs w:val="21"/>
              </w:rPr>
              <w:t>丝材质：不锈钢、NiTi（合金）</w:t>
            </w:r>
            <w:r>
              <w:rPr>
                <w:rFonts w:hint="eastAsia" w:ascii="宋体" w:hAnsi="宋体" w:eastAsia="宋体" w:cs="宋体"/>
                <w:sz w:val="21"/>
                <w:szCs w:val="21"/>
                <w:lang w:val="en-US" w:eastAsia="zh-CN"/>
              </w:rPr>
              <w:t>；</w:t>
            </w:r>
          </w:p>
          <w:p w14:paraId="0FA6BAE6">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8、篮</w:t>
            </w:r>
            <w:r>
              <w:rPr>
                <w:rFonts w:hint="eastAsia" w:ascii="宋体" w:hAnsi="宋体" w:eastAsia="宋体" w:cs="宋体"/>
                <w:sz w:val="21"/>
                <w:szCs w:val="21"/>
              </w:rPr>
              <w:t>丝数目：3、4、6、8</w:t>
            </w:r>
            <w:r>
              <w:rPr>
                <w:rFonts w:hint="eastAsia" w:ascii="宋体" w:hAnsi="宋体" w:eastAsia="宋体" w:cs="宋体"/>
                <w:sz w:val="21"/>
                <w:szCs w:val="21"/>
                <w:lang w:eastAsia="zh-CN"/>
              </w:rPr>
              <w:t>。</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19ECE2F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把</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7F333FD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664A498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1400</w:t>
            </w:r>
          </w:p>
        </w:tc>
      </w:tr>
      <w:tr w14:paraId="60BC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46B0877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56F7987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一次性分片式负极板</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39142A8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1、本产品用于电外科手术中分散回路电流，必须与带有可监测电路的高频设备配合使用，与医院高频电刀工作站（品牌型号：爱尔博VIO300S）配套使用。</w:t>
            </w:r>
          </w:p>
          <w:p w14:paraId="4501F77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2、流密度在NESSYΩ负极板上平均分配，保证热量在负极板表面均匀分布，避免局部过热灼伤病人。</w:t>
            </w:r>
          </w:p>
          <w:p w14:paraId="595EFED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3、当检测到负极板没有正确有效贴敷至病人身体表面，会停止电外科主机启动。</w:t>
            </w:r>
          </w:p>
          <w:p w14:paraId="1177C97C">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4、当检测到负极板接触面电阻在安全范围20至120Ω，将允许电外科主机启动。</w:t>
            </w:r>
          </w:p>
          <w:p w14:paraId="7FA1B4F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5、负极板外圈为非接触的等电位环设计。</w:t>
            </w:r>
          </w:p>
          <w:p w14:paraId="1F45CBF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6、分片式负极板，一次性使用，接触面积（85+23）cm²。</w:t>
            </w:r>
          </w:p>
          <w:p w14:paraId="2B28B361">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7、用适合皮肤的柔软合成纤维做基底材料。</w:t>
            </w:r>
          </w:p>
          <w:p w14:paraId="4ACFC677">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8、用于乳胶过敏患者，不含任何的乳胶和天然橡胶添加剂，不会引起任何乳胶过敏反应。</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35C7337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片</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51EBC662">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300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257D12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50</w:t>
            </w:r>
          </w:p>
        </w:tc>
      </w:tr>
      <w:tr w14:paraId="30F3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E2B55ED">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447A7F4A">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一次性使用冲洗吸引管路</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01D37132">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1、适用范围：与吸引灌流控制主机配合，作为外接管路，用于手术时进行抽吸和冲洗；</w:t>
            </w:r>
          </w:p>
          <w:p w14:paraId="6859FDDE">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2、组成：吸引灌流管、带保护套瓶塞穿刺器、限流夹、滴壶、硬三通及大调节器、锥度二通接头连接器组成；</w:t>
            </w:r>
          </w:p>
          <w:p w14:paraId="5CEB91C2">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3、吸引管材质：PVC；</w:t>
            </w:r>
          </w:p>
          <w:p w14:paraId="571AD005">
            <w:pPr>
              <w:snapToGrid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4、产品一次性使用，经环氧乙烷灭菌。</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433E26DE">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个</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0C581FCF">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460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1A4BF024">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16</w:t>
            </w:r>
          </w:p>
        </w:tc>
      </w:tr>
      <w:tr w14:paraId="2105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3B62027B">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40B25709">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rPr>
              <w:t>一次性使用麻醉</w:t>
            </w:r>
            <w:r>
              <w:rPr>
                <w:rFonts w:hint="eastAsia" w:ascii="宋体" w:hAnsi="宋体" w:eastAsia="宋体" w:cs="宋体"/>
                <w:sz w:val="21"/>
                <w:szCs w:val="21"/>
                <w:lang w:eastAsia="zh-CN"/>
              </w:rPr>
              <w:t>吸附器套件</w:t>
            </w:r>
          </w:p>
        </w:tc>
        <w:tc>
          <w:tcPr>
            <w:tcW w:w="2561" w:type="pct"/>
            <w:tcBorders>
              <w:top w:val="single" w:color="auto" w:sz="4" w:space="0"/>
              <w:left w:val="single" w:color="auto" w:sz="4" w:space="0"/>
              <w:bottom w:val="single" w:color="auto" w:sz="4" w:space="0"/>
              <w:right w:val="single" w:color="auto" w:sz="4" w:space="0"/>
            </w:tcBorders>
            <w:noWrap w:val="0"/>
            <w:vAlign w:val="center"/>
          </w:tcPr>
          <w:p w14:paraId="324F4666">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适用范围</w:t>
            </w:r>
            <w:r>
              <w:rPr>
                <w:rFonts w:hint="eastAsia" w:ascii="宋体" w:hAnsi="宋体" w:eastAsia="宋体" w:cs="宋体"/>
                <w:sz w:val="21"/>
                <w:szCs w:val="21"/>
                <w:lang w:eastAsia="zh-CN"/>
              </w:rPr>
              <w:t>：</w:t>
            </w:r>
            <w:r>
              <w:rPr>
                <w:rFonts w:hint="eastAsia" w:ascii="宋体" w:hAnsi="宋体" w:eastAsia="宋体" w:cs="宋体"/>
                <w:sz w:val="21"/>
                <w:szCs w:val="21"/>
              </w:rPr>
              <w:t>用于在全麻手术中输送气体，对麻醉废气进行吸附净化。</w:t>
            </w:r>
          </w:p>
          <w:p w14:paraId="559B28B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主要结构与组成：回路内使用麻醉气体吸附器、一次性使用麻醉呼吸管路、麻醉面罩、一次性使用湿热交换过滤器</w:t>
            </w:r>
            <w:r>
              <w:rPr>
                <w:rFonts w:hint="eastAsia" w:ascii="宋体" w:hAnsi="宋体" w:eastAsia="宋体" w:cs="宋体"/>
                <w:sz w:val="21"/>
                <w:szCs w:val="21"/>
                <w:lang w:val="en-US" w:eastAsia="zh-CN"/>
              </w:rPr>
              <w:t>等。</w:t>
            </w:r>
          </w:p>
          <w:p w14:paraId="2DE632B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三、</w:t>
            </w:r>
            <w:r>
              <w:rPr>
                <w:rFonts w:hint="eastAsia" w:ascii="宋体" w:hAnsi="宋体" w:eastAsia="宋体" w:cs="宋体"/>
                <w:sz w:val="21"/>
                <w:szCs w:val="21"/>
              </w:rPr>
              <w:t>性能要求:</w:t>
            </w:r>
          </w:p>
          <w:p w14:paraId="29DDAB1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降低麻醉气体浓度：手术完毕时，无需加大新鲜空气，快速降低回路内麻醉气体浓缩，加快患者苏醒。</w:t>
            </w:r>
          </w:p>
          <w:p w14:paraId="453BC473">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简单临床操作：麻醉吸附器具有麻醉、苏醒两种工作方式可视临床需求而随意切换。</w:t>
            </w:r>
          </w:p>
          <w:p w14:paraId="7BDA2E82">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节约临床使用时间：配备麻醉气体吸附器、一次性使用麻醉呼吸管路、麻醉面罩、一次性使用湿热交换过滤器、呼吸管路延长管、二氧化碳导管、麻醉储气囊等配件，可供临床打包使用，节约准备时间。</w:t>
            </w:r>
          </w:p>
          <w:p w14:paraId="5979B8B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配置参数要求：</w:t>
            </w:r>
          </w:p>
          <w:p w14:paraId="64B292E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一次性使用麻醉呼吸管路：</w:t>
            </w:r>
          </w:p>
          <w:p w14:paraId="79F03963">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普通型管路长度：成人0.8m、1m、1.2m、1.5m、1.6m、1.8m、1.9m、2.0m；小儿0.8m、0.9m、1.2m、1.6m、1.8m、2.4m</w:t>
            </w:r>
          </w:p>
          <w:p w14:paraId="2AB1FD14">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可伸缩标准型长度：成人 1.2m、1.5m、2.0m</w:t>
            </w:r>
          </w:p>
          <w:p w14:paraId="108B8F10">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小儿2.0m、3.0m</w:t>
            </w:r>
          </w:p>
          <w:p w14:paraId="123B4F41">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加强筋标准型：成人1.0m、1.2m、1.5m、1.6m、1.8m、2.0m、2.4m</w:t>
            </w:r>
          </w:p>
          <w:p w14:paraId="73106D05">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小儿1.2m、1.6m、1.8m</w:t>
            </w:r>
          </w:p>
          <w:p w14:paraId="1E140839">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普通积水杯型：成人1.2m、1.5m、1.6m、1.8m、2.0m</w:t>
            </w:r>
          </w:p>
          <w:p w14:paraId="53ED3FE7">
            <w:pPr>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加强筋积水杯型：成人1.0m、1.2m、1.4m、1.6m、1.8m</w:t>
            </w:r>
          </w:p>
          <w:p w14:paraId="2702E95C">
            <w:pPr>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一次性使用湿热交换过滤器滤除率：在空气流为50ml/min下，测定空气中≥0.5μm的微粒的滤除率≥99.9999%。</w:t>
            </w:r>
          </w:p>
        </w:tc>
        <w:tc>
          <w:tcPr>
            <w:tcW w:w="370" w:type="pct"/>
            <w:tcBorders>
              <w:top w:val="single" w:color="auto" w:sz="4" w:space="0"/>
              <w:left w:val="single" w:color="auto" w:sz="4" w:space="0"/>
              <w:bottom w:val="single" w:color="auto" w:sz="4" w:space="0"/>
              <w:right w:val="single" w:color="auto" w:sz="4" w:space="0"/>
            </w:tcBorders>
            <w:noWrap w:val="0"/>
            <w:vAlign w:val="center"/>
          </w:tcPr>
          <w:p w14:paraId="235BD6C6">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000000"/>
                <w:kern w:val="0"/>
                <w:sz w:val="21"/>
                <w:szCs w:val="21"/>
                <w:u w:val="none"/>
                <w:lang w:val="en-US" w:eastAsia="zh-CN" w:bidi="ar"/>
              </w:rPr>
              <w:t>套</w:t>
            </w:r>
          </w:p>
        </w:tc>
        <w:tc>
          <w:tcPr>
            <w:tcW w:w="406" w:type="pct"/>
            <w:tcBorders>
              <w:top w:val="single" w:color="auto" w:sz="4" w:space="0"/>
              <w:left w:val="single" w:color="auto" w:sz="4" w:space="0"/>
              <w:bottom w:val="single" w:color="auto" w:sz="4" w:space="0"/>
              <w:right w:val="single" w:color="auto" w:sz="4" w:space="0"/>
            </w:tcBorders>
            <w:noWrap w:val="0"/>
            <w:vAlign w:val="center"/>
          </w:tcPr>
          <w:p w14:paraId="3A18ADA3">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500</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267930D1">
            <w:pPr>
              <w:snapToGrid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 w:val="21"/>
                <w:szCs w:val="21"/>
                <w:lang w:val="en-US" w:eastAsia="zh-CN"/>
              </w:rPr>
              <w:t>165</w:t>
            </w:r>
          </w:p>
        </w:tc>
      </w:tr>
      <w:tr w14:paraId="134C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14:paraId="0EA218B5">
            <w:pPr>
              <w:widowControl w:val="0"/>
              <w:numPr>
                <w:ilvl w:val="0"/>
                <w:numId w:val="0"/>
              </w:numPr>
              <w:spacing w:line="240" w:lineRule="auto"/>
              <w:jc w:val="both"/>
              <w:rPr>
                <w:rFonts w:hint="eastAsia" w:ascii="仿宋" w:hAnsi="仿宋" w:eastAsia="仿宋" w:cs="仿宋"/>
                <w:b w:val="0"/>
                <w:bCs/>
                <w:color w:val="auto"/>
                <w:kern w:val="2"/>
                <w:sz w:val="21"/>
                <w:szCs w:val="21"/>
                <w:highlight w:val="none"/>
                <w:lang w:eastAsia="zh-CN"/>
              </w:rPr>
            </w:pPr>
            <w:r>
              <w:rPr>
                <w:rFonts w:hint="eastAsia" w:ascii="宋体" w:hAnsi="宋体" w:eastAsia="宋体" w:cs="宋体"/>
                <w:b/>
                <w:color w:val="auto"/>
                <w:sz w:val="21"/>
                <w:szCs w:val="21"/>
                <w:highlight w:val="none"/>
              </w:rPr>
              <w:t>说明：</w:t>
            </w:r>
          </w:p>
          <w:p w14:paraId="374DBF22">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rPr>
              <w:t>1、投标人的投标文件必须标明所供货物的品牌与参数，保证原厂正品供货，提供相关资料等</w:t>
            </w:r>
            <w:r>
              <w:rPr>
                <w:rFonts w:hint="eastAsia" w:ascii="仿宋" w:hAnsi="仿宋" w:eastAsia="仿宋" w:cs="仿宋"/>
                <w:b w:val="0"/>
                <w:bCs/>
                <w:color w:val="000000"/>
                <w:kern w:val="2"/>
                <w:sz w:val="21"/>
                <w:szCs w:val="21"/>
                <w:highlight w:val="none"/>
                <w:lang w:eastAsia="zh-CN"/>
              </w:rPr>
              <w:t>，如为进口产品需在备注栏标明进口。</w:t>
            </w:r>
          </w:p>
          <w:p w14:paraId="212EF61D">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rPr>
              <w:t>2、</w:t>
            </w:r>
            <w:r>
              <w:rPr>
                <w:rFonts w:hint="eastAsia" w:ascii="仿宋" w:hAnsi="仿宋" w:eastAsia="仿宋" w:cs="仿宋"/>
                <w:b w:val="0"/>
                <w:bCs/>
                <w:color w:val="000000"/>
                <w:kern w:val="2"/>
                <w:sz w:val="21"/>
                <w:szCs w:val="21"/>
                <w:highlight w:val="none"/>
                <w:lang w:eastAsia="zh-CN"/>
              </w:rPr>
              <w:t>以上技术参数</w:t>
            </w:r>
            <w:r>
              <w:rPr>
                <w:rFonts w:hint="eastAsia" w:ascii="仿宋" w:hAnsi="仿宋" w:eastAsia="仿宋" w:cs="仿宋"/>
                <w:b w:val="0"/>
                <w:bCs/>
                <w:color w:val="000000"/>
                <w:kern w:val="2"/>
                <w:sz w:val="21"/>
                <w:szCs w:val="21"/>
                <w:highlight w:val="none"/>
                <w:lang w:val="en-US" w:eastAsia="zh-CN"/>
              </w:rPr>
              <w:t>有</w:t>
            </w:r>
            <w:r>
              <w:rPr>
                <w:rFonts w:hint="eastAsia" w:ascii="仿宋" w:hAnsi="仿宋" w:eastAsia="仿宋" w:cs="仿宋"/>
                <w:b w:val="0"/>
                <w:bCs/>
                <w:color w:val="000000"/>
                <w:kern w:val="2"/>
                <w:sz w:val="21"/>
                <w:szCs w:val="21"/>
                <w:highlight w:val="none"/>
              </w:rPr>
              <w:t>★项</w:t>
            </w:r>
            <w:r>
              <w:rPr>
                <w:rFonts w:hint="eastAsia" w:ascii="仿宋" w:hAnsi="仿宋" w:eastAsia="仿宋" w:cs="仿宋"/>
                <w:b w:val="0"/>
                <w:bCs/>
                <w:color w:val="000000"/>
                <w:kern w:val="2"/>
                <w:sz w:val="21"/>
                <w:szCs w:val="21"/>
                <w:highlight w:val="none"/>
                <w:lang w:val="en-US" w:eastAsia="zh-CN"/>
              </w:rPr>
              <w:t>还</w:t>
            </w:r>
            <w:r>
              <w:rPr>
                <w:rFonts w:hint="eastAsia" w:ascii="仿宋" w:hAnsi="仿宋" w:eastAsia="仿宋" w:cs="仿宋"/>
                <w:b w:val="0"/>
                <w:bCs/>
                <w:color w:val="000000"/>
                <w:kern w:val="2"/>
                <w:sz w:val="21"/>
                <w:szCs w:val="21"/>
                <w:highlight w:val="none"/>
              </w:rPr>
              <w:t>需提供技术证明文件之一（医疗器械注册证、医疗器械注册登记表、第三方检测报告、产品技术白皮书、产品使用说明书）予以证明</w:t>
            </w:r>
            <w:r>
              <w:rPr>
                <w:rFonts w:hint="eastAsia" w:ascii="仿宋" w:hAnsi="仿宋" w:eastAsia="仿宋" w:cs="仿宋"/>
                <w:b w:val="0"/>
                <w:bCs/>
                <w:color w:val="000000"/>
                <w:kern w:val="2"/>
                <w:sz w:val="21"/>
                <w:szCs w:val="21"/>
                <w:highlight w:val="none"/>
                <w:lang w:eastAsia="zh-CN"/>
              </w:rPr>
              <w:t>。</w:t>
            </w:r>
          </w:p>
          <w:p w14:paraId="10B03807">
            <w:pPr>
              <w:widowControl w:val="0"/>
              <w:numPr>
                <w:ilvl w:val="0"/>
                <w:numId w:val="0"/>
              </w:numPr>
              <w:spacing w:line="240" w:lineRule="auto"/>
              <w:jc w:val="both"/>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3、属于集采平台目录内的产品,必须满足两票制和安徽省医药集中采购中心平台价格上传有关要求，并在平台配送，如供货价格高于集采平台价格，则按集采平台价格进行供货。</w:t>
            </w:r>
          </w:p>
          <w:p w14:paraId="3F289440">
            <w:pPr>
              <w:widowControl w:val="0"/>
              <w:numPr>
                <w:ilvl w:val="0"/>
                <w:numId w:val="0"/>
              </w:numPr>
              <w:spacing w:line="240" w:lineRule="auto"/>
              <w:jc w:val="both"/>
              <w:rPr>
                <w:rFonts w:hint="default"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4、本表中的“数量”为预计三年使用量，仅供投标人报价时参考。</w:t>
            </w:r>
          </w:p>
          <w:p w14:paraId="734FBD3A">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val="en-US" w:eastAsia="zh-CN"/>
              </w:rPr>
            </w:pPr>
            <w:r>
              <w:rPr>
                <w:rFonts w:hint="eastAsia" w:ascii="仿宋" w:hAnsi="仿宋" w:eastAsia="仿宋" w:cs="仿宋"/>
                <w:b w:val="0"/>
                <w:bCs/>
                <w:color w:val="000000"/>
                <w:kern w:val="2"/>
                <w:sz w:val="21"/>
                <w:szCs w:val="21"/>
                <w:highlight w:val="none"/>
                <w:lang w:val="en-US" w:eastAsia="zh-CN"/>
              </w:rPr>
              <w:t>5</w:t>
            </w:r>
            <w:r>
              <w:rPr>
                <w:rFonts w:hint="eastAsia" w:ascii="仿宋" w:hAnsi="仿宋" w:eastAsia="仿宋" w:cs="仿宋"/>
                <w:b w:val="0"/>
                <w:bCs/>
                <w:color w:val="000000"/>
                <w:kern w:val="2"/>
                <w:sz w:val="21"/>
                <w:szCs w:val="21"/>
                <w:highlight w:val="none"/>
              </w:rPr>
              <w:t>、</w:t>
            </w:r>
            <w:r>
              <w:rPr>
                <w:rFonts w:hint="eastAsia" w:ascii="仿宋" w:hAnsi="仿宋" w:eastAsia="仿宋" w:cs="仿宋"/>
                <w:b w:val="0"/>
                <w:bCs/>
                <w:color w:val="000000"/>
                <w:kern w:val="2"/>
                <w:sz w:val="21"/>
                <w:szCs w:val="21"/>
                <w:highlight w:val="none"/>
                <w:lang w:val="en-US" w:eastAsia="zh-CN"/>
              </w:rPr>
              <w:t>供货期</w:t>
            </w:r>
            <w:r>
              <w:rPr>
                <w:rFonts w:hint="eastAsia" w:ascii="仿宋" w:hAnsi="仿宋" w:eastAsia="仿宋" w:cs="仿宋"/>
                <w:b w:val="0"/>
                <w:bCs/>
                <w:color w:val="000000"/>
                <w:kern w:val="2"/>
                <w:sz w:val="21"/>
                <w:szCs w:val="21"/>
                <w:highlight w:val="none"/>
              </w:rPr>
              <w:t>自</w:t>
            </w:r>
            <w:r>
              <w:rPr>
                <w:rFonts w:hint="eastAsia" w:ascii="仿宋" w:hAnsi="仿宋" w:eastAsia="仿宋" w:cs="仿宋"/>
                <w:b w:val="0"/>
                <w:bCs/>
                <w:color w:val="000000"/>
                <w:kern w:val="2"/>
                <w:sz w:val="21"/>
                <w:szCs w:val="21"/>
                <w:highlight w:val="none"/>
                <w:lang w:val="en-US" w:eastAsia="zh-CN"/>
              </w:rPr>
              <w:t>合同签订之日起三年或采购费用总额达到该本项目总中标价时，以先到者为准，在供货期内按照采购人的要求分批供货，据实结算。</w:t>
            </w:r>
          </w:p>
          <w:p w14:paraId="4EA20F32">
            <w:pPr>
              <w:widowControl w:val="0"/>
              <w:numPr>
                <w:ilvl w:val="0"/>
                <w:numId w:val="0"/>
              </w:numPr>
              <w:spacing w:line="240" w:lineRule="auto"/>
              <w:jc w:val="both"/>
              <w:rPr>
                <w:rFonts w:hint="eastAsia" w:ascii="仿宋" w:hAnsi="仿宋" w:eastAsia="仿宋" w:cs="仿宋"/>
                <w:b w:val="0"/>
                <w:bCs/>
                <w:color w:val="000000"/>
                <w:kern w:val="2"/>
                <w:sz w:val="21"/>
                <w:szCs w:val="21"/>
                <w:highlight w:val="none"/>
                <w:lang w:eastAsia="zh-CN"/>
              </w:rPr>
            </w:pPr>
            <w:r>
              <w:rPr>
                <w:rFonts w:hint="eastAsia" w:ascii="仿宋" w:hAnsi="仿宋" w:eastAsia="仿宋" w:cs="仿宋"/>
                <w:b w:val="0"/>
                <w:bCs/>
                <w:color w:val="000000"/>
                <w:kern w:val="2"/>
                <w:sz w:val="21"/>
                <w:szCs w:val="21"/>
                <w:highlight w:val="none"/>
                <w:lang w:val="en-US" w:eastAsia="zh-CN"/>
              </w:rPr>
              <w:t>6</w:t>
            </w:r>
            <w:r>
              <w:rPr>
                <w:rFonts w:hint="eastAsia" w:ascii="仿宋" w:hAnsi="仿宋" w:eastAsia="仿宋" w:cs="仿宋"/>
                <w:b w:val="0"/>
                <w:bCs/>
                <w:color w:val="000000"/>
                <w:kern w:val="2"/>
                <w:sz w:val="21"/>
                <w:szCs w:val="21"/>
                <w:highlight w:val="none"/>
              </w:rPr>
              <w:t>、必须满足我院耗材精细化管理的要求</w:t>
            </w:r>
            <w:r>
              <w:rPr>
                <w:rFonts w:hint="eastAsia" w:ascii="仿宋" w:hAnsi="仿宋" w:eastAsia="仿宋" w:cs="仿宋"/>
                <w:b w:val="0"/>
                <w:bCs/>
                <w:color w:val="000000"/>
                <w:kern w:val="2"/>
                <w:sz w:val="21"/>
                <w:szCs w:val="21"/>
                <w:highlight w:val="none"/>
                <w:lang w:val="en-US" w:eastAsia="zh-CN"/>
              </w:rPr>
              <w:t>(服务费率：供货金额的2%)</w:t>
            </w:r>
            <w:r>
              <w:rPr>
                <w:rFonts w:hint="eastAsia" w:ascii="仿宋" w:hAnsi="仿宋" w:eastAsia="仿宋" w:cs="仿宋"/>
                <w:b w:val="0"/>
                <w:bCs/>
                <w:color w:val="000000"/>
                <w:kern w:val="2"/>
                <w:sz w:val="21"/>
                <w:szCs w:val="21"/>
                <w:highlight w:val="none"/>
                <w:lang w:eastAsia="zh-CN"/>
              </w:rPr>
              <w:t>。服务期内如遇国家、省、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医保带量采购等相关政策调整，按国家、省、</w:t>
            </w:r>
            <w:r>
              <w:rPr>
                <w:rFonts w:hint="eastAsia" w:ascii="仿宋" w:hAnsi="仿宋" w:eastAsia="仿宋" w:cs="仿宋"/>
                <w:b w:val="0"/>
                <w:bCs/>
                <w:color w:val="000000"/>
                <w:kern w:val="2"/>
                <w:sz w:val="21"/>
                <w:szCs w:val="21"/>
                <w:highlight w:val="none"/>
                <w:lang w:val="en-US" w:eastAsia="zh-CN"/>
              </w:rPr>
              <w:t>市</w:t>
            </w:r>
            <w:r>
              <w:rPr>
                <w:rFonts w:hint="eastAsia" w:ascii="仿宋" w:hAnsi="仿宋" w:eastAsia="仿宋" w:cs="仿宋"/>
                <w:b w:val="0"/>
                <w:bCs/>
                <w:color w:val="000000"/>
                <w:kern w:val="2"/>
                <w:sz w:val="21"/>
                <w:szCs w:val="21"/>
                <w:highlight w:val="none"/>
                <w:lang w:eastAsia="zh-CN"/>
              </w:rPr>
              <w:t>医保带量采购等相关政策执行。</w:t>
            </w:r>
          </w:p>
          <w:p w14:paraId="5C7B1EED">
            <w:pPr>
              <w:widowControl w:val="0"/>
              <w:numPr>
                <w:ilvl w:val="0"/>
                <w:numId w:val="0"/>
              </w:numPr>
              <w:spacing w:line="240" w:lineRule="auto"/>
              <w:jc w:val="both"/>
              <w:rPr>
                <w:rFonts w:hint="default" w:eastAsia="宋体"/>
                <w:color w:val="auto"/>
                <w:highlight w:val="none"/>
                <w:lang w:val="en-US" w:eastAsia="zh-CN"/>
              </w:rPr>
            </w:pPr>
            <w:r>
              <w:rPr>
                <w:rFonts w:hint="eastAsia" w:ascii="仿宋" w:hAnsi="仿宋" w:eastAsia="仿宋" w:cs="仿宋"/>
                <w:b w:val="0"/>
                <w:bCs/>
                <w:color w:val="000000"/>
                <w:kern w:val="2"/>
                <w:sz w:val="21"/>
                <w:szCs w:val="21"/>
                <w:highlight w:val="none"/>
                <w:lang w:val="en-US" w:eastAsia="zh-CN"/>
              </w:rPr>
              <w:t>7、合同履行的过程中，如因安徽省医药集中采购中心平台限价降低导致价格低于合同价，乙方须主动将所供产品价格降为平台以下价格。如因主管部门等政府行为需要重新招标时，合同自动终止。</w:t>
            </w:r>
          </w:p>
        </w:tc>
      </w:tr>
      <w:bookmarkEnd w:id="0"/>
      <w:bookmarkEnd w:id="5"/>
      <w:bookmarkEnd w:id="6"/>
    </w:tbl>
    <w:p w14:paraId="78955226">
      <w:pPr>
        <w:spacing w:line="360" w:lineRule="auto"/>
        <w:ind w:firstLine="437"/>
        <w:outlineLvl w:val="1"/>
        <w:rPr>
          <w:rFonts w:ascii="宋体" w:hAnsi="宋体" w:eastAsia="宋体"/>
          <w:b/>
          <w:bCs/>
          <w:color w:val="auto"/>
          <w:sz w:val="21"/>
          <w:szCs w:val="21"/>
          <w:highlight w:val="none"/>
        </w:rPr>
      </w:pPr>
      <w:bookmarkStart w:id="7" w:name="_Toc4843"/>
      <w:bookmarkStart w:id="8" w:name="_Toc7421"/>
      <w:r>
        <w:rPr>
          <w:rFonts w:hint="eastAsia" w:ascii="宋体" w:hAnsi="宋体" w:eastAsia="宋体"/>
          <w:b/>
          <w:bCs/>
          <w:color w:val="auto"/>
          <w:sz w:val="21"/>
          <w:szCs w:val="21"/>
          <w:highlight w:val="none"/>
        </w:rPr>
        <w:t>三、</w:t>
      </w:r>
      <w:bookmarkEnd w:id="7"/>
      <w:bookmarkEnd w:id="8"/>
      <w:bookmarkStart w:id="9" w:name="_Toc14698"/>
      <w:bookmarkStart w:id="10" w:name="_Toc15293"/>
      <w:r>
        <w:rPr>
          <w:rFonts w:hint="eastAsia" w:ascii="宋体" w:hAnsi="宋体" w:eastAsia="宋体"/>
          <w:b/>
          <w:bCs/>
          <w:color w:val="auto"/>
          <w:sz w:val="21"/>
          <w:szCs w:val="21"/>
          <w:highlight w:val="none"/>
        </w:rPr>
        <w:t>其他要求</w:t>
      </w:r>
      <w:bookmarkEnd w:id="9"/>
      <w:bookmarkEnd w:id="10"/>
    </w:p>
    <w:p w14:paraId="440D61E8">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Cs w:val="21"/>
          <w:highlight w:val="none"/>
        </w:rPr>
      </w:pPr>
      <w:r>
        <w:rPr>
          <w:rFonts w:hint="eastAsia" w:ascii="宋体" w:hAnsi="宋体"/>
          <w:color w:val="auto"/>
          <w:sz w:val="21"/>
          <w:szCs w:val="21"/>
          <w:highlight w:val="none"/>
        </w:rPr>
        <w:t xml:space="preserve"> </w:t>
      </w:r>
      <w:r>
        <w:rPr>
          <w:rFonts w:hint="eastAsia" w:ascii="宋体" w:hAnsi="宋体"/>
          <w:color w:val="auto"/>
          <w:szCs w:val="21"/>
          <w:highlight w:val="none"/>
          <w:lang w:val="en-US" w:eastAsia="zh-CN"/>
        </w:rPr>
        <w:t>1、人员培训要求：</w:t>
      </w:r>
      <w:r>
        <w:rPr>
          <w:rFonts w:hint="eastAsia" w:ascii="宋体" w:hAnsi="宋体"/>
          <w:color w:val="auto"/>
          <w:szCs w:val="21"/>
          <w:highlight w:val="none"/>
        </w:rPr>
        <w:t>货物安装、调试、验收合格后，</w:t>
      </w:r>
      <w:r>
        <w:rPr>
          <w:rFonts w:hint="eastAsia" w:ascii="宋体" w:hAnsi="宋体"/>
          <w:color w:val="auto"/>
          <w:szCs w:val="21"/>
          <w:highlight w:val="none"/>
          <w:lang w:val="en-US" w:eastAsia="zh-CN"/>
        </w:rPr>
        <w:t>中标人</w:t>
      </w:r>
      <w:r>
        <w:rPr>
          <w:rFonts w:hint="eastAsia" w:ascii="宋体" w:hAnsi="宋体"/>
          <w:color w:val="auto"/>
          <w:szCs w:val="21"/>
          <w:highlight w:val="none"/>
        </w:rPr>
        <w:t>应对</w:t>
      </w:r>
      <w:r>
        <w:rPr>
          <w:rFonts w:hint="eastAsia" w:ascii="宋体" w:hAnsi="宋体"/>
          <w:color w:val="auto"/>
          <w:szCs w:val="21"/>
          <w:highlight w:val="none"/>
          <w:lang w:val="en-US" w:eastAsia="zh-CN"/>
        </w:rPr>
        <w:t>招标</w:t>
      </w:r>
      <w:r>
        <w:rPr>
          <w:rFonts w:hint="eastAsia" w:ascii="宋体" w:hAnsi="宋体"/>
          <w:color w:val="auto"/>
          <w:szCs w:val="21"/>
          <w:highlight w:val="none"/>
        </w:rPr>
        <w:t>人的相关人员进行免费现场培训。培训内容包括基本操作、保养维修、常见故障及解决办法等。</w:t>
      </w:r>
    </w:p>
    <w:p w14:paraId="1C6C8FAF">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、货物质量：中标人提供的货物必须是全新、原装、合格正品，完全符合国家规定的质量标准和厂方的标准。货物完好，配件齐全。</w:t>
      </w:r>
    </w:p>
    <w:p w14:paraId="37B064A8">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、保修及售后服务：依据商品的保修条款及售后服务条款，提供原厂质保，质保期按照国家规定，且不低于所供</w:t>
      </w:r>
      <w:bookmarkStart w:id="11" w:name="_Toc6897"/>
      <w:bookmarkStart w:id="12" w:name="_Toc10710"/>
      <w:r>
        <w:rPr>
          <w:rFonts w:hint="eastAsia" w:ascii="宋体" w:hAnsi="宋体"/>
          <w:color w:val="auto"/>
          <w:szCs w:val="21"/>
          <w:highlight w:val="none"/>
        </w:rPr>
        <w:t>品牌向用户承诺的质保期限，</w:t>
      </w:r>
      <w:r>
        <w:rPr>
          <w:rFonts w:hint="eastAsia" w:ascii="宋体" w:hAnsi="宋体"/>
          <w:color w:val="auto"/>
          <w:szCs w:val="21"/>
          <w:highlight w:val="none"/>
          <w:lang w:val="en-US" w:eastAsia="zh-CN"/>
        </w:rPr>
        <w:t>招标</w:t>
      </w:r>
      <w:r>
        <w:rPr>
          <w:rFonts w:hint="eastAsia" w:ascii="宋体" w:hAnsi="宋体"/>
          <w:color w:val="auto"/>
          <w:szCs w:val="21"/>
          <w:highlight w:val="none"/>
          <w:lang w:eastAsia="zh-CN"/>
        </w:rPr>
        <w:t>文件</w:t>
      </w:r>
      <w:r>
        <w:rPr>
          <w:rFonts w:hint="eastAsia" w:ascii="宋体" w:hAnsi="宋体"/>
          <w:color w:val="auto"/>
          <w:szCs w:val="21"/>
          <w:highlight w:val="none"/>
        </w:rPr>
        <w:t>另有约定的从其约定。质保期从货物验收合格后算起。</w:t>
      </w:r>
    </w:p>
    <w:p w14:paraId="658125BE">
      <w:pPr>
        <w:pageBreakBefore w:val="0"/>
        <w:widowControl/>
        <w:kinsoku/>
        <w:overflowPunct/>
        <w:topLinePunct w:val="0"/>
        <w:bidi w:val="0"/>
        <w:adjustRightInd w:val="0"/>
        <w:snapToGrid w:val="0"/>
        <w:spacing w:line="420" w:lineRule="atLeast"/>
        <w:ind w:firstLine="420" w:firstLineChars="200"/>
        <w:jc w:val="left"/>
        <w:textAlignment w:val="auto"/>
        <w:rPr>
          <w:rFonts w:hint="eastAsia" w:ascii="宋体" w:hAnsi="宋体" w:eastAsia="宋体"/>
          <w:b/>
          <w:bCs/>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4、验收：</w:t>
      </w:r>
      <w:r>
        <w:rPr>
          <w:rFonts w:hint="eastAsia" w:ascii="宋体" w:hAnsi="宋体"/>
          <w:color w:val="auto"/>
          <w:sz w:val="21"/>
          <w:szCs w:val="21"/>
          <w:highlight w:val="none"/>
        </w:rPr>
        <w:t>中标人和</w:t>
      </w:r>
      <w:r>
        <w:rPr>
          <w:rFonts w:hint="eastAsia" w:ascii="宋体" w:hAnsi="宋体"/>
          <w:color w:val="auto"/>
          <w:sz w:val="21"/>
          <w:szCs w:val="21"/>
          <w:highlight w:val="none"/>
          <w:lang w:val="en-US" w:eastAsia="zh-CN"/>
        </w:rPr>
        <w:t>招标人</w:t>
      </w:r>
      <w:r>
        <w:rPr>
          <w:rFonts w:hint="eastAsia" w:ascii="宋体" w:hAnsi="宋体"/>
          <w:color w:val="auto"/>
          <w:sz w:val="21"/>
          <w:szCs w:val="21"/>
          <w:highlight w:val="none"/>
        </w:rPr>
        <w:t>双方共同实施验收工作，结果和验收报告经双方确认后生效</w:t>
      </w:r>
      <w:r>
        <w:rPr>
          <w:rFonts w:hint="eastAsia" w:ascii="宋体" w:hAnsi="宋体"/>
          <w:color w:val="auto"/>
          <w:sz w:val="21"/>
          <w:szCs w:val="21"/>
          <w:highlight w:val="none"/>
          <w:lang w:eastAsia="zh-CN"/>
        </w:rPr>
        <w:t>。</w:t>
      </w:r>
    </w:p>
    <w:bookmarkEnd w:id="11"/>
    <w:bookmarkEnd w:id="12"/>
    <w:p w14:paraId="34A3E325">
      <w:pPr>
        <w:widowControl/>
        <w:jc w:val="left"/>
        <w:rPr>
          <w:rFonts w:hint="eastAsia" w:ascii="宋体" w:hAnsi="宋体" w:eastAsia="宋体" w:cs="宋体"/>
          <w:color w:val="auto"/>
          <w:szCs w:val="21"/>
          <w:highlight w:val="none"/>
        </w:rPr>
      </w:pPr>
    </w:p>
    <w:p w14:paraId="699E6ED8">
      <w:pPr>
        <w:pStyle w:val="2"/>
        <w:rPr>
          <w:rFonts w:hint="eastAsia" w:ascii="宋体" w:hAnsi="宋体" w:eastAsia="宋体" w:cs="宋体"/>
          <w:color w:val="auto"/>
          <w:szCs w:val="21"/>
          <w:highlight w:val="none"/>
        </w:rPr>
      </w:pPr>
    </w:p>
    <w:p w14:paraId="280708FF">
      <w:pPr>
        <w:pStyle w:val="2"/>
        <w:ind w:left="0" w:leftChars="0" w:firstLine="0" w:firstLineChars="0"/>
        <w:rPr>
          <w:rFonts w:hint="eastAsia" w:ascii="宋体" w:hAnsi="宋体" w:eastAsia="宋体" w:cs="宋体"/>
          <w:color w:val="auto"/>
          <w:szCs w:val="21"/>
          <w:highlight w:val="none"/>
        </w:rPr>
      </w:pPr>
    </w:p>
    <w:p w14:paraId="38A400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014B5"/>
    <w:rsid w:val="51E6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2721</Words>
  <Characters>3105</Characters>
  <Lines>0</Lines>
  <Paragraphs>0</Paragraphs>
  <TotalTime>0</TotalTime>
  <ScaleCrop>false</ScaleCrop>
  <LinksUpToDate>false</LinksUpToDate>
  <CharactersWithSpaces>3155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2025-05-16T02:50:00Z</dcterms:created>
  <dc:creator>Administrator</dc:creator>
  <cp:lastModifiedBy>调皮あ小女</cp:lastModifiedBy>
  <dcterms:modified xsi:type="dcterms:W3CDTF">2025-06-09T00:12:45Z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eyJoZGlkIjoiYjczYTgwN2ZhODJjZTI2NGE3MDczZjBmYzdjNjcwODgiLCJ1c2VySWQiOiI5MzU5OTM5MDYifQ==</vt:lpwstr>
  </property>
  <property fmtid="{D5CDD505-2E9C-101B-9397-08002B2CF9AE}" pid="4" name="ICV">
    <vt:lpwstr>FF6AAADF828C40A6930B0F2588DFB797_12</vt:lpwstr>
  </property>
</Properties>
</file>