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CBDA9">
      <w:pPr>
        <w:pStyle w:val="2"/>
        <w:numPr>
          <w:ilvl w:val="0"/>
          <w:numId w:val="0"/>
        </w:numPr>
        <w:ind w:left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采购需求</w:t>
      </w:r>
    </w:p>
    <w:p w14:paraId="7805003B">
      <w:pPr>
        <w:pageBreakBefore w:val="0"/>
        <w:widowControl/>
        <w:kinsoku/>
        <w:overflowPunct/>
        <w:topLinePunct w:val="0"/>
        <w:bidi w:val="0"/>
        <w:snapToGrid/>
        <w:spacing w:line="420" w:lineRule="exact"/>
        <w:ind w:firstLine="430"/>
        <w:jc w:val="left"/>
        <w:textAlignment w:val="auto"/>
        <w:rPr>
          <w:rFonts w:hint="eastAsia" w:ascii="宋体" w:hAnsi="宋体" w:eastAsia="宋体" w:cs="宋体"/>
          <w:b/>
          <w:bCs/>
          <w:color w:val="auto"/>
          <w:sz w:val="21"/>
          <w:szCs w:val="21"/>
          <w:highlight w:val="none"/>
        </w:rPr>
      </w:pPr>
      <w:bookmarkStart w:id="0" w:name="bookmark47"/>
      <w:r>
        <w:rPr>
          <w:rFonts w:hint="eastAsia" w:ascii="宋体" w:hAnsi="宋体" w:eastAsia="宋体" w:cs="宋体"/>
          <w:b/>
          <w:bCs/>
          <w:color w:val="auto"/>
          <w:sz w:val="21"/>
          <w:szCs w:val="21"/>
          <w:highlight w:val="none"/>
        </w:rPr>
        <w:t>为鼓励不同品牌的充分竞争，如某设备的某技术参数或要求属于个别品牌专有，则该技术参数及要求不具有限制性，投标人可对该参数或要求进行适当调整，但这种调整整体上要优于或相当于招标文件的相关要求，并说明调整理由，且该调整须经评委会审核认可。</w:t>
      </w:r>
    </w:p>
    <w:p w14:paraId="4400FB5C">
      <w:pPr>
        <w:pageBreakBefore w:val="0"/>
        <w:widowControl/>
        <w:kinsoku/>
        <w:overflowPunct/>
        <w:topLinePunct w:val="0"/>
        <w:bidi w:val="0"/>
        <w:snapToGrid/>
        <w:spacing w:line="420" w:lineRule="exact"/>
        <w:ind w:firstLine="405"/>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在采购活动开始前没有获准采购进口产品而开展采购活动的，视同为拒绝采购进口产品。</w:t>
      </w:r>
    </w:p>
    <w:p w14:paraId="783FA631">
      <w:pPr>
        <w:pageBreakBefore w:val="0"/>
        <w:widowControl/>
        <w:kinsoku/>
        <w:overflowPunct/>
        <w:topLinePunct w:val="0"/>
        <w:bidi w:val="0"/>
        <w:snapToGrid/>
        <w:spacing w:line="420" w:lineRule="exact"/>
        <w:ind w:firstLine="405"/>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中标人提供的货物为进口产品的，供货时须向</w:t>
      </w:r>
      <w:r>
        <w:rPr>
          <w:rFonts w:hint="eastAsia" w:ascii="宋体" w:hAnsi="宋体" w:eastAsia="宋体" w:cs="宋体"/>
          <w:b/>
          <w:bCs/>
          <w:color w:val="auto"/>
          <w:sz w:val="21"/>
          <w:szCs w:val="21"/>
          <w:highlight w:val="none"/>
          <w:lang w:eastAsia="zh-CN"/>
        </w:rPr>
        <w:t>招标人</w:t>
      </w:r>
      <w:r>
        <w:rPr>
          <w:rFonts w:hint="eastAsia" w:ascii="宋体" w:hAnsi="宋体" w:eastAsia="宋体" w:cs="宋体"/>
          <w:b/>
          <w:bCs/>
          <w:color w:val="auto"/>
          <w:sz w:val="21"/>
          <w:szCs w:val="21"/>
          <w:highlight w:val="none"/>
        </w:rPr>
        <w:t>提供所投进口产品的海关报关单等证明材料。</w:t>
      </w:r>
    </w:p>
    <w:p w14:paraId="3FB9EDD1">
      <w:pPr>
        <w:pageBreakBefore w:val="0"/>
        <w:kinsoku/>
        <w:overflowPunct/>
        <w:topLinePunct w:val="0"/>
        <w:bidi w:val="0"/>
        <w:snapToGrid/>
        <w:spacing w:line="42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原装进口的产品，如国内产品满足需求也可参与采购竞争。</w:t>
      </w:r>
    </w:p>
    <w:p w14:paraId="44D99D6B">
      <w:pPr>
        <w:pageBreakBefore w:val="0"/>
        <w:kinsoku/>
        <w:overflowPunct/>
        <w:topLinePunct w:val="0"/>
        <w:bidi w:val="0"/>
        <w:snapToGrid/>
        <w:spacing w:line="420" w:lineRule="exact"/>
        <w:ind w:firstLine="422" w:firstLineChars="200"/>
        <w:textAlignment w:val="auto"/>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一、采购需求前附表</w:t>
      </w:r>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2546"/>
        <w:gridCol w:w="5264"/>
      </w:tblGrid>
      <w:tr w14:paraId="752A0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5FC5ADC3">
            <w:pPr>
              <w:pStyle w:val="5"/>
              <w:pageBreakBefore w:val="0"/>
              <w:kinsoku/>
              <w:overflowPunct/>
              <w:topLinePunct w:val="0"/>
              <w:bidi w:val="0"/>
              <w:snapToGrid/>
              <w:spacing w:line="4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494" w:type="pct"/>
            <w:noWrap w:val="0"/>
            <w:vAlign w:val="center"/>
          </w:tcPr>
          <w:p w14:paraId="7D8E75D6">
            <w:pPr>
              <w:pStyle w:val="5"/>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商务条款名称</w:t>
            </w:r>
          </w:p>
        </w:tc>
        <w:tc>
          <w:tcPr>
            <w:tcW w:w="3089" w:type="pct"/>
            <w:noWrap w:val="0"/>
            <w:vAlign w:val="center"/>
          </w:tcPr>
          <w:p w14:paraId="26FFFE96">
            <w:pPr>
              <w:pStyle w:val="5"/>
              <w:pageBreakBefore w:val="0"/>
              <w:kinsoku/>
              <w:overflowPunct/>
              <w:topLinePunct w:val="0"/>
              <w:bidi w:val="0"/>
              <w:snapToGrid/>
              <w:spacing w:line="4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具体要求内容</w:t>
            </w:r>
          </w:p>
        </w:tc>
      </w:tr>
      <w:tr w14:paraId="52518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50A0A31B">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94" w:type="pct"/>
            <w:noWrap w:val="0"/>
            <w:vAlign w:val="center"/>
          </w:tcPr>
          <w:p w14:paraId="39CB31C6">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3089" w:type="pct"/>
            <w:noWrap w:val="0"/>
            <w:vAlign w:val="center"/>
          </w:tcPr>
          <w:p w14:paraId="64AACA37">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使用六个月后付款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中标人出具正规发票。</w:t>
            </w:r>
          </w:p>
        </w:tc>
      </w:tr>
      <w:tr w14:paraId="5EA36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1FAA58D6">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494" w:type="pct"/>
            <w:noWrap w:val="0"/>
            <w:vAlign w:val="center"/>
          </w:tcPr>
          <w:p w14:paraId="785AD069">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供货及安装地点</w:t>
            </w:r>
          </w:p>
        </w:tc>
        <w:tc>
          <w:tcPr>
            <w:tcW w:w="3089" w:type="pct"/>
            <w:noWrap w:val="0"/>
            <w:vAlign w:val="center"/>
          </w:tcPr>
          <w:p w14:paraId="1627B11B">
            <w:pPr>
              <w:pageBreakBefore w:val="0"/>
              <w:kinsoku/>
              <w:overflowPunct/>
              <w:topLinePunct w:val="0"/>
              <w:bidi w:val="0"/>
              <w:snapToGrid/>
              <w:spacing w:line="420" w:lineRule="exact"/>
              <w:jc w:val="center"/>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eastAsia="zh-CN"/>
              </w:rPr>
              <w:t>安庆市第二人民医院</w:t>
            </w:r>
          </w:p>
        </w:tc>
      </w:tr>
      <w:tr w14:paraId="316E1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2653DDF3">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494" w:type="pct"/>
            <w:noWrap w:val="0"/>
            <w:vAlign w:val="center"/>
          </w:tcPr>
          <w:p w14:paraId="6E33C393">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交货、安装、调试期</w:t>
            </w:r>
          </w:p>
          <w:p w14:paraId="27B7F865">
            <w:pPr>
              <w:pageBreakBefore w:val="0"/>
              <w:kinsoku/>
              <w:overflowPunct/>
              <w:topLinePunct w:val="0"/>
              <w:bidi w:val="0"/>
              <w:snapToGrid/>
              <w:spacing w:line="420" w:lineRule="exact"/>
              <w:jc w:val="center"/>
              <w:textAlignment w:val="auto"/>
              <w:rPr>
                <w:rFonts w:hint="eastAsia"/>
                <w:color w:val="auto"/>
                <w:highlight w:val="none"/>
              </w:rPr>
            </w:pPr>
            <w:r>
              <w:rPr>
                <w:rFonts w:hint="eastAsia" w:ascii="宋体" w:hAnsi="宋体" w:eastAsia="宋体" w:cs="宋体"/>
                <w:color w:val="auto"/>
                <w:sz w:val="21"/>
                <w:szCs w:val="21"/>
                <w:highlight w:val="none"/>
                <w:lang w:val="en-US" w:eastAsia="zh-CN"/>
              </w:rPr>
              <w:t>（即合同履行期限）</w:t>
            </w:r>
          </w:p>
        </w:tc>
        <w:tc>
          <w:tcPr>
            <w:tcW w:w="3089" w:type="pct"/>
            <w:noWrap w:val="0"/>
            <w:vAlign w:val="center"/>
          </w:tcPr>
          <w:p w14:paraId="35C60AC1">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w:t>
            </w:r>
            <w:r>
              <w:rPr>
                <w:rFonts w:hint="eastAsia" w:ascii="宋体" w:hAnsi="宋体" w:eastAsia="宋体" w:cs="宋体"/>
                <w:color w:val="auto"/>
                <w:sz w:val="21"/>
                <w:szCs w:val="21"/>
                <w:highlight w:val="none"/>
                <w:lang w:val="en-US" w:eastAsia="zh-CN"/>
              </w:rPr>
              <w:t>合同签订之日起三年或采购费用总额达到该本项目总中标价时，以先到者为准，在供货期内按照采购人的要求分批供货，据实结算。</w:t>
            </w:r>
          </w:p>
        </w:tc>
      </w:tr>
    </w:tbl>
    <w:p w14:paraId="180C527D">
      <w:pPr>
        <w:pStyle w:val="3"/>
        <w:pageBreakBefore w:val="0"/>
        <w:numPr>
          <w:ilvl w:val="0"/>
          <w:numId w:val="0"/>
        </w:numPr>
        <w:kinsoku/>
        <w:overflowPunct/>
        <w:topLinePunct w:val="0"/>
        <w:bidi w:val="0"/>
        <w:snapToGrid/>
        <w:spacing w:line="420" w:lineRule="exact"/>
        <w:ind w:firstLine="422" w:firstLineChars="200"/>
        <w:textAlignment w:val="auto"/>
        <w:rPr>
          <w:rFonts w:hint="eastAsia" w:ascii="宋体" w:hAnsi="宋体" w:eastAsia="宋体" w:cs="宋体"/>
          <w:bCs/>
          <w:color w:val="auto"/>
          <w:sz w:val="21"/>
          <w:szCs w:val="21"/>
          <w:highlight w:val="none"/>
        </w:rPr>
      </w:pPr>
      <w:bookmarkStart w:id="1" w:name="_Toc22728"/>
      <w:bookmarkStart w:id="2" w:name="_Toc20068"/>
      <w:bookmarkStart w:id="3" w:name="_Toc10379"/>
      <w:bookmarkStart w:id="4" w:name="_Toc490682725"/>
      <w:r>
        <w:rPr>
          <w:rFonts w:hint="eastAsia" w:ascii="宋体" w:hAnsi="宋体" w:eastAsia="宋体" w:cs="宋体"/>
          <w:bCs/>
          <w:color w:val="auto"/>
          <w:sz w:val="21"/>
          <w:szCs w:val="21"/>
          <w:highlight w:val="none"/>
          <w:lang w:val="en-US" w:eastAsia="zh-CN"/>
        </w:rPr>
        <w:t>二、货物需求</w:t>
      </w:r>
      <w:bookmarkEnd w:id="1"/>
      <w:bookmarkEnd w:id="2"/>
      <w:bookmarkEnd w:id="3"/>
      <w:bookmarkEnd w:id="4"/>
    </w:p>
    <w:tbl>
      <w:tblPr>
        <w:tblStyle w:val="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
        <w:gridCol w:w="407"/>
        <w:gridCol w:w="5722"/>
        <w:gridCol w:w="407"/>
        <w:gridCol w:w="789"/>
        <w:gridCol w:w="790"/>
      </w:tblGrid>
      <w:tr w14:paraId="39F82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29" w:type="pct"/>
            <w:tcBorders>
              <w:top w:val="single" w:color="auto" w:sz="4" w:space="0"/>
              <w:left w:val="single" w:color="auto" w:sz="4" w:space="0"/>
              <w:bottom w:val="single" w:color="auto" w:sz="4" w:space="0"/>
              <w:right w:val="single" w:color="auto" w:sz="4" w:space="0"/>
            </w:tcBorders>
            <w:noWrap w:val="0"/>
            <w:vAlign w:val="center"/>
          </w:tcPr>
          <w:p w14:paraId="58D28D8B">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rPr>
            </w:pPr>
            <w:bookmarkStart w:id="5" w:name="_Toc4579"/>
            <w:bookmarkStart w:id="6" w:name="_Toc490682726"/>
            <w:r>
              <w:rPr>
                <w:rFonts w:hint="eastAsia" w:ascii="宋体" w:hAnsi="宋体" w:eastAsia="宋体" w:cs="宋体"/>
                <w:color w:val="auto"/>
                <w:kern w:val="0"/>
                <w:sz w:val="21"/>
                <w:szCs w:val="21"/>
                <w:highlight w:val="none"/>
              </w:rPr>
              <w:t>序号</w:t>
            </w:r>
          </w:p>
        </w:tc>
        <w:tc>
          <w:tcPr>
            <w:tcW w:w="254" w:type="pct"/>
            <w:tcBorders>
              <w:top w:val="single" w:color="auto" w:sz="4" w:space="0"/>
              <w:left w:val="single" w:color="auto" w:sz="4" w:space="0"/>
              <w:bottom w:val="single" w:color="auto" w:sz="4" w:space="0"/>
              <w:right w:val="single" w:color="auto" w:sz="4" w:space="0"/>
            </w:tcBorders>
            <w:noWrap w:val="0"/>
            <w:vAlign w:val="center"/>
          </w:tcPr>
          <w:p w14:paraId="583DBD30">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货物名称</w:t>
            </w:r>
          </w:p>
        </w:tc>
        <w:tc>
          <w:tcPr>
            <w:tcW w:w="3374" w:type="pct"/>
            <w:tcBorders>
              <w:top w:val="single" w:color="auto" w:sz="4" w:space="0"/>
              <w:left w:val="single" w:color="auto" w:sz="4" w:space="0"/>
              <w:bottom w:val="single" w:color="auto" w:sz="4" w:space="0"/>
              <w:right w:val="single" w:color="auto" w:sz="4" w:space="0"/>
            </w:tcBorders>
            <w:noWrap w:val="0"/>
            <w:vAlign w:val="center"/>
          </w:tcPr>
          <w:p w14:paraId="08E682A5">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技术参数</w:t>
            </w:r>
            <w:r>
              <w:rPr>
                <w:rFonts w:hint="eastAsia" w:ascii="宋体" w:hAnsi="宋体" w:eastAsia="宋体" w:cs="宋体"/>
                <w:color w:val="auto"/>
                <w:kern w:val="0"/>
                <w:sz w:val="21"/>
                <w:szCs w:val="21"/>
                <w:highlight w:val="none"/>
                <w:lang w:val="en-US" w:eastAsia="zh-CN"/>
              </w:rPr>
              <w:t>要求</w:t>
            </w:r>
          </w:p>
        </w:tc>
        <w:tc>
          <w:tcPr>
            <w:tcW w:w="229" w:type="pct"/>
            <w:tcBorders>
              <w:top w:val="single" w:color="auto" w:sz="4" w:space="0"/>
              <w:left w:val="single" w:color="auto" w:sz="4" w:space="0"/>
              <w:bottom w:val="single" w:color="auto" w:sz="4" w:space="0"/>
              <w:right w:val="single" w:color="auto" w:sz="4" w:space="0"/>
            </w:tcBorders>
            <w:noWrap w:val="0"/>
            <w:vAlign w:val="center"/>
          </w:tcPr>
          <w:p w14:paraId="3A8C08C4">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w:t>
            </w:r>
          </w:p>
        </w:tc>
        <w:tc>
          <w:tcPr>
            <w:tcW w:w="455" w:type="pct"/>
            <w:tcBorders>
              <w:top w:val="single" w:color="auto" w:sz="4" w:space="0"/>
              <w:left w:val="single" w:color="auto" w:sz="4" w:space="0"/>
              <w:bottom w:val="single" w:color="auto" w:sz="4" w:space="0"/>
              <w:right w:val="single" w:color="auto" w:sz="4" w:space="0"/>
            </w:tcBorders>
            <w:noWrap w:val="0"/>
            <w:vAlign w:val="center"/>
          </w:tcPr>
          <w:p w14:paraId="69FBA7B0">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456" w:type="pct"/>
            <w:tcBorders>
              <w:top w:val="single" w:color="auto" w:sz="4" w:space="0"/>
              <w:left w:val="single" w:color="auto" w:sz="4" w:space="0"/>
              <w:bottom w:val="single" w:color="auto" w:sz="4" w:space="0"/>
              <w:right w:val="single" w:color="auto" w:sz="4" w:space="0"/>
            </w:tcBorders>
            <w:noWrap w:val="0"/>
            <w:vAlign w:val="center"/>
          </w:tcPr>
          <w:p w14:paraId="409A5572">
            <w:pPr>
              <w:pageBreakBefore w:val="0"/>
              <w:widowControl/>
              <w:kinsoku/>
              <w:overflowPunct/>
              <w:topLinePunct w:val="0"/>
              <w:bidi w:val="0"/>
              <w:snapToGrid/>
              <w:spacing w:line="42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单价上限（元）</w:t>
            </w:r>
          </w:p>
        </w:tc>
      </w:tr>
      <w:tr w14:paraId="7A7A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9" w:type="pct"/>
            <w:tcBorders>
              <w:top w:val="single" w:color="auto" w:sz="4" w:space="0"/>
              <w:left w:val="single" w:color="auto" w:sz="4" w:space="0"/>
              <w:bottom w:val="single" w:color="auto" w:sz="4" w:space="0"/>
              <w:right w:val="single" w:color="auto" w:sz="4" w:space="0"/>
            </w:tcBorders>
            <w:noWrap w:val="0"/>
            <w:vAlign w:val="center"/>
          </w:tcPr>
          <w:p w14:paraId="7716DFFB">
            <w:pPr>
              <w:snapToGrid w:val="0"/>
              <w:spacing w:line="240" w:lineRule="auto"/>
              <w:jc w:val="center"/>
              <w:rPr>
                <w:rFonts w:hint="eastAsia" w:ascii="宋体" w:hAnsi="宋体" w:eastAsia="宋体" w:cs="宋体"/>
                <w:color w:val="auto"/>
                <w:kern w:val="0"/>
                <w:sz w:val="21"/>
                <w:szCs w:val="21"/>
                <w:highlight w:val="none"/>
              </w:rPr>
            </w:pPr>
            <w:r>
              <w:rPr>
                <w:rFonts w:hint="eastAsia" w:ascii="黑体" w:hAnsi="黑体" w:eastAsia="黑体" w:cs="黑体"/>
                <w:sz w:val="21"/>
                <w:szCs w:val="21"/>
                <w:lang w:val="en-US" w:eastAsia="zh-CN"/>
              </w:rPr>
              <w:t>1</w:t>
            </w:r>
          </w:p>
        </w:tc>
        <w:tc>
          <w:tcPr>
            <w:tcW w:w="254" w:type="pct"/>
            <w:tcBorders>
              <w:top w:val="single" w:color="auto" w:sz="4" w:space="0"/>
              <w:left w:val="single" w:color="auto" w:sz="4" w:space="0"/>
              <w:bottom w:val="single" w:color="auto" w:sz="4" w:space="0"/>
              <w:right w:val="single" w:color="auto" w:sz="4" w:space="0"/>
            </w:tcBorders>
            <w:noWrap w:val="0"/>
            <w:vAlign w:val="center"/>
          </w:tcPr>
          <w:p w14:paraId="3377FFA6">
            <w:pPr>
              <w:snapToGrid w:val="0"/>
              <w:spacing w:line="240" w:lineRule="auto"/>
              <w:jc w:val="center"/>
              <w:rPr>
                <w:rFonts w:hint="eastAsia" w:ascii="宋体" w:hAnsi="宋体" w:eastAsia="宋体" w:cs="宋体"/>
                <w:color w:val="auto"/>
                <w:kern w:val="0"/>
                <w:sz w:val="21"/>
                <w:szCs w:val="21"/>
                <w:highlight w:val="none"/>
              </w:rPr>
            </w:pPr>
            <w:r>
              <w:rPr>
                <w:rFonts w:hint="eastAsia" w:ascii="黑体" w:hAnsi="黑体" w:eastAsia="黑体" w:cs="黑体"/>
                <w:sz w:val="21"/>
                <w:szCs w:val="21"/>
                <w:lang w:val="en-US" w:eastAsia="zh-CN"/>
              </w:rPr>
              <w:t>血糖试纸</w:t>
            </w:r>
          </w:p>
        </w:tc>
        <w:tc>
          <w:tcPr>
            <w:tcW w:w="3374" w:type="pct"/>
            <w:tcBorders>
              <w:top w:val="single" w:color="auto" w:sz="4" w:space="0"/>
              <w:left w:val="single" w:color="auto" w:sz="4" w:space="0"/>
              <w:bottom w:val="single" w:color="auto" w:sz="4" w:space="0"/>
              <w:right w:val="single" w:color="auto" w:sz="4" w:space="0"/>
            </w:tcBorders>
            <w:noWrap w:val="0"/>
            <w:vAlign w:val="center"/>
          </w:tcPr>
          <w:p w14:paraId="0A5DA9BB">
            <w:pPr>
              <w:snapToGrid w:val="0"/>
              <w:spacing w:line="240" w:lineRule="auto"/>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1. 反应原理：葡萄糖脱氢酶法</w:t>
            </w:r>
          </w:p>
          <w:p w14:paraId="3A0398EE">
            <w:pPr>
              <w:snapToGrid w:val="0"/>
              <w:spacing w:line="240" w:lineRule="auto"/>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2. 检测方法：干化学法</w:t>
            </w:r>
          </w:p>
          <w:p w14:paraId="0BC1CBAC">
            <w:pPr>
              <w:snapToGrid w:val="0"/>
              <w:spacing w:line="240" w:lineRule="auto"/>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3. 度量单位：mmol/L</w:t>
            </w:r>
          </w:p>
          <w:p w14:paraId="7316BD45">
            <w:pPr>
              <w:snapToGrid w:val="0"/>
              <w:spacing w:line="240" w:lineRule="auto"/>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 xml:space="preserve">4. </w:t>
            </w:r>
            <w:r>
              <w:rPr>
                <w:rFonts w:hint="eastAsia" w:ascii="黑体" w:hAnsi="黑体" w:eastAsia="黑体" w:cs="黑体"/>
                <w:b w:val="0"/>
                <w:bCs/>
                <w:color w:val="000000"/>
                <w:kern w:val="2"/>
                <w:sz w:val="21"/>
                <w:szCs w:val="21"/>
                <w:highlight w:val="none"/>
              </w:rPr>
              <w:t>★</w:t>
            </w:r>
            <w:r>
              <w:rPr>
                <w:rFonts w:hint="eastAsia" w:ascii="黑体" w:hAnsi="黑体" w:eastAsia="黑体" w:cs="黑体"/>
                <w:sz w:val="21"/>
                <w:szCs w:val="21"/>
                <w:lang w:val="en-US" w:eastAsia="zh-CN"/>
              </w:rPr>
              <w:t>测量范围：0.6~33.3mmol/L(10~600mg/dL)</w:t>
            </w:r>
          </w:p>
          <w:p w14:paraId="60A0CCA0">
            <w:pPr>
              <w:snapToGrid w:val="0"/>
              <w:spacing w:line="240" w:lineRule="auto"/>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 适用血样：毛细血管全血、静脉血</w:t>
            </w:r>
          </w:p>
          <w:p w14:paraId="7C76C1EA">
            <w:pPr>
              <w:snapToGrid w:val="0"/>
              <w:spacing w:line="240" w:lineRule="auto"/>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 校正标准：血浆矫正</w:t>
            </w:r>
          </w:p>
          <w:p w14:paraId="442C5270">
            <w:pPr>
              <w:snapToGrid w:val="0"/>
              <w:spacing w:line="240" w:lineRule="auto"/>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7. 校正码：免调码技术</w:t>
            </w:r>
          </w:p>
          <w:p w14:paraId="35E8E3CD">
            <w:pPr>
              <w:snapToGrid w:val="0"/>
              <w:spacing w:line="240" w:lineRule="auto"/>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 xml:space="preserve">8. </w:t>
            </w:r>
            <w:r>
              <w:rPr>
                <w:rFonts w:hint="eastAsia" w:ascii="黑体" w:hAnsi="黑体" w:eastAsia="黑体" w:cs="黑体"/>
                <w:b w:val="0"/>
                <w:bCs/>
                <w:color w:val="000000"/>
                <w:kern w:val="2"/>
                <w:sz w:val="21"/>
                <w:szCs w:val="21"/>
                <w:highlight w:val="none"/>
              </w:rPr>
              <w:t>★</w:t>
            </w:r>
            <w:r>
              <w:rPr>
                <w:rFonts w:hint="eastAsia" w:ascii="黑体" w:hAnsi="黑体" w:eastAsia="黑体" w:cs="黑体"/>
                <w:sz w:val="21"/>
                <w:szCs w:val="21"/>
                <w:lang w:val="en-US" w:eastAsia="zh-CN"/>
              </w:rPr>
              <w:t>血样量：0.8μI (微升)</w:t>
            </w:r>
          </w:p>
          <w:p w14:paraId="66F940F9">
            <w:pPr>
              <w:snapToGrid w:val="0"/>
              <w:spacing w:line="240" w:lineRule="auto"/>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 xml:space="preserve">9. </w:t>
            </w:r>
            <w:r>
              <w:rPr>
                <w:rFonts w:hint="eastAsia" w:ascii="黑体" w:hAnsi="黑体" w:eastAsia="黑体" w:cs="黑体"/>
                <w:b w:val="0"/>
                <w:bCs/>
                <w:color w:val="000000"/>
                <w:kern w:val="2"/>
                <w:sz w:val="21"/>
                <w:szCs w:val="21"/>
                <w:highlight w:val="none"/>
              </w:rPr>
              <w:t>★</w:t>
            </w:r>
            <w:r>
              <w:rPr>
                <w:rFonts w:hint="eastAsia" w:ascii="黑体" w:hAnsi="黑体" w:eastAsia="黑体" w:cs="黑体"/>
                <w:sz w:val="21"/>
                <w:szCs w:val="21"/>
                <w:lang w:val="en-US" w:eastAsia="zh-CN"/>
              </w:rPr>
              <w:t>二次加样：如检测用血样过少未充满反应区，3秒内再次增加血样，可正常测试</w:t>
            </w:r>
          </w:p>
          <w:p w14:paraId="1327F3A1">
            <w:pPr>
              <w:snapToGrid w:val="0"/>
              <w:spacing w:line="240" w:lineRule="auto"/>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10.</w:t>
            </w:r>
            <w:r>
              <w:rPr>
                <w:rFonts w:hint="eastAsia" w:ascii="黑体" w:hAnsi="黑体" w:eastAsia="黑体" w:cs="黑体"/>
                <w:b w:val="0"/>
                <w:bCs/>
                <w:color w:val="000000"/>
                <w:kern w:val="2"/>
                <w:sz w:val="21"/>
                <w:szCs w:val="21"/>
                <w:highlight w:val="none"/>
              </w:rPr>
              <w:t>★</w:t>
            </w:r>
            <w:r>
              <w:rPr>
                <w:rFonts w:hint="eastAsia" w:ascii="黑体" w:hAnsi="黑体" w:eastAsia="黑体" w:cs="黑体"/>
                <w:sz w:val="21"/>
                <w:szCs w:val="21"/>
                <w:lang w:val="en-US" w:eastAsia="zh-CN"/>
              </w:rPr>
              <w:t>红细胞压积范围：10%~70%</w:t>
            </w:r>
          </w:p>
          <w:p w14:paraId="32AE7A94">
            <w:pPr>
              <w:snapToGrid w:val="0"/>
              <w:spacing w:line="240" w:lineRule="auto"/>
              <w:jc w:val="left"/>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11.测试时间：≤5S</w:t>
            </w:r>
          </w:p>
          <w:p w14:paraId="13135103">
            <w:pPr>
              <w:snapToGrid w:val="0"/>
              <w:spacing w:line="240" w:lineRule="auto"/>
              <w:jc w:val="left"/>
              <w:rPr>
                <w:rFonts w:hint="default" w:ascii="黑体" w:hAnsi="黑体" w:eastAsia="宋体" w:cs="黑体"/>
                <w:sz w:val="21"/>
                <w:szCs w:val="21"/>
                <w:lang w:val="en-US" w:eastAsia="zh-CN"/>
              </w:rPr>
            </w:pPr>
            <w:r>
              <w:rPr>
                <w:rFonts w:hint="eastAsia" w:ascii="黑体" w:hAnsi="黑体" w:eastAsia="黑体" w:cs="黑体"/>
                <w:sz w:val="21"/>
                <w:szCs w:val="21"/>
                <w:lang w:val="en-US" w:eastAsia="zh-CN"/>
              </w:rPr>
              <w:t>12.记忆组数：≥500组测量结果</w:t>
            </w:r>
          </w:p>
          <w:p w14:paraId="7CD03CFA">
            <w:pPr>
              <w:snapToGrid w:val="0"/>
              <w:spacing w:line="240" w:lineRule="auto"/>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13.自动关机：&lt;3分钟</w:t>
            </w:r>
          </w:p>
          <w:p w14:paraId="5E1B78F4">
            <w:pPr>
              <w:snapToGrid w:val="0"/>
              <w:spacing w:line="240" w:lineRule="auto"/>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14.显示屏：LCD</w:t>
            </w:r>
          </w:p>
          <w:p w14:paraId="0F1BB6AD">
            <w:pPr>
              <w:snapToGrid w:val="0"/>
              <w:spacing w:line="240" w:lineRule="auto"/>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15.设备运行方式：连续运行</w:t>
            </w:r>
          </w:p>
          <w:p w14:paraId="577D8BD8">
            <w:pPr>
              <w:snapToGrid w:val="0"/>
              <w:spacing w:line="240" w:lineRule="auto"/>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16.电源电压：DC3.0V</w:t>
            </w:r>
          </w:p>
          <w:p w14:paraId="0A7F9EDD">
            <w:pPr>
              <w:snapToGrid w:val="0"/>
              <w:spacing w:line="240" w:lineRule="auto"/>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17.电源寿命：2节7号电池能测量约2000次</w:t>
            </w:r>
          </w:p>
          <w:p w14:paraId="4897F922">
            <w:pPr>
              <w:snapToGrid w:val="0"/>
              <w:spacing w:line="240" w:lineRule="auto"/>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18.设备类型：内部电源供电设备、非AP/APG 设备(不能在有与空气混合的易燃麻醉气或与氧化亚氮混合的易燃麻醉气情况下使用的设备)</w:t>
            </w:r>
          </w:p>
          <w:p w14:paraId="0A25F304">
            <w:pPr>
              <w:snapToGrid w:val="0"/>
              <w:spacing w:line="240" w:lineRule="auto"/>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19.进液防护程度：IPXO</w:t>
            </w:r>
          </w:p>
          <w:p w14:paraId="35D7F7D8">
            <w:pPr>
              <w:snapToGrid w:val="0"/>
              <w:spacing w:line="240" w:lineRule="auto"/>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20.仪器使用期限：不少于5年</w:t>
            </w:r>
          </w:p>
          <w:p w14:paraId="58BFD79C">
            <w:pPr>
              <w:snapToGrid w:val="0"/>
              <w:spacing w:line="240" w:lineRule="auto"/>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21.仪器正常工作条件：</w:t>
            </w:r>
          </w:p>
          <w:p w14:paraId="7D97FCC9">
            <w:pPr>
              <w:snapToGrid w:val="0"/>
              <w:spacing w:line="240" w:lineRule="auto"/>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a)</w:t>
            </w:r>
            <w:r>
              <w:rPr>
                <w:rFonts w:hint="eastAsia" w:ascii="黑体" w:hAnsi="黑体" w:eastAsia="黑体" w:cs="黑体"/>
                <w:b w:val="0"/>
                <w:bCs/>
                <w:color w:val="000000"/>
                <w:kern w:val="2"/>
                <w:sz w:val="21"/>
                <w:szCs w:val="21"/>
                <w:highlight w:val="none"/>
              </w:rPr>
              <w:t>★</w:t>
            </w:r>
            <w:r>
              <w:rPr>
                <w:rFonts w:hint="eastAsia" w:ascii="黑体" w:hAnsi="黑体" w:eastAsia="黑体" w:cs="黑体"/>
                <w:sz w:val="21"/>
                <w:szCs w:val="21"/>
                <w:lang w:val="en-US" w:eastAsia="zh-CN"/>
              </w:rPr>
              <w:t xml:space="preserve"> 环境温度范围：5℃~40℃,</w:t>
            </w:r>
          </w:p>
          <w:p w14:paraId="0A1CA000">
            <w:pPr>
              <w:snapToGrid w:val="0"/>
              <w:spacing w:line="240" w:lineRule="auto"/>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b)   相对湿度范围：&lt;85%,</w:t>
            </w:r>
          </w:p>
          <w:p w14:paraId="24F403AF">
            <w:pPr>
              <w:snapToGrid w:val="0"/>
              <w:spacing w:line="240" w:lineRule="auto"/>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c)   大气压力范围：70kPa~106kPa</w:t>
            </w:r>
          </w:p>
          <w:p w14:paraId="1DCB91C0">
            <w:pPr>
              <w:snapToGrid w:val="0"/>
              <w:spacing w:line="240" w:lineRule="auto"/>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22.电气安全分类：BF 应用部分</w:t>
            </w:r>
          </w:p>
          <w:p w14:paraId="3ED6B566">
            <w:pPr>
              <w:snapToGrid w:val="0"/>
              <w:spacing w:line="240" w:lineRule="auto"/>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23.仪器运输与贮存：</w:t>
            </w:r>
          </w:p>
          <w:p w14:paraId="39CB6539">
            <w:pPr>
              <w:snapToGrid w:val="0"/>
              <w:spacing w:line="240" w:lineRule="auto"/>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a)   环境温度范围：-10℃~+50℃,</w:t>
            </w:r>
          </w:p>
          <w:p w14:paraId="1D91D347">
            <w:pPr>
              <w:snapToGrid w:val="0"/>
              <w:spacing w:line="240" w:lineRule="auto"/>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b)   相对湿度范围：&lt;90%,且无冷凝现象，</w:t>
            </w:r>
          </w:p>
          <w:p w14:paraId="5A6EEDF4">
            <w:pPr>
              <w:snapToGrid w:val="0"/>
              <w:spacing w:line="240" w:lineRule="auto"/>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c)   大气压力范围：500hPa~1060hPa</w:t>
            </w:r>
          </w:p>
          <w:p w14:paraId="0DE6804A">
            <w:pPr>
              <w:snapToGrid w:val="0"/>
              <w:spacing w:line="240" w:lineRule="auto"/>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24.</w:t>
            </w:r>
            <w:r>
              <w:rPr>
                <w:rFonts w:hint="eastAsia" w:ascii="黑体" w:hAnsi="黑体" w:eastAsia="黑体" w:cs="黑体"/>
                <w:b w:val="0"/>
                <w:bCs/>
                <w:color w:val="000000"/>
                <w:kern w:val="2"/>
                <w:sz w:val="21"/>
                <w:szCs w:val="21"/>
                <w:highlight w:val="none"/>
              </w:rPr>
              <w:t>★</w:t>
            </w:r>
            <w:r>
              <w:rPr>
                <w:rFonts w:hint="eastAsia" w:ascii="黑体" w:hAnsi="黑体" w:eastAsia="黑体" w:cs="黑体"/>
                <w:sz w:val="21"/>
                <w:szCs w:val="21"/>
                <w:lang w:val="en-US" w:eastAsia="zh-CN"/>
              </w:rPr>
              <w:t>退条：自动退条</w:t>
            </w:r>
          </w:p>
          <w:p w14:paraId="5C1C95DE">
            <w:pPr>
              <w:snapToGrid w:val="0"/>
              <w:spacing w:line="240" w:lineRule="auto"/>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25.</w:t>
            </w:r>
            <w:r>
              <w:rPr>
                <w:rFonts w:hint="eastAsia" w:ascii="黑体" w:hAnsi="黑体" w:eastAsia="黑体" w:cs="黑体"/>
                <w:b w:val="0"/>
                <w:bCs/>
                <w:color w:val="000000"/>
                <w:kern w:val="2"/>
                <w:sz w:val="21"/>
                <w:szCs w:val="21"/>
                <w:highlight w:val="none"/>
              </w:rPr>
              <w:t>★</w:t>
            </w:r>
            <w:r>
              <w:rPr>
                <w:rFonts w:hint="eastAsia" w:ascii="黑体" w:hAnsi="黑体" w:eastAsia="黑体" w:cs="黑体"/>
                <w:sz w:val="21"/>
                <w:szCs w:val="21"/>
                <w:lang w:val="en-US" w:eastAsia="zh-CN"/>
              </w:rPr>
              <w:t>试纸有效期：未开封试纸≥2年，开封后≥6个月</w:t>
            </w:r>
          </w:p>
          <w:p w14:paraId="00FE26E0">
            <w:pPr>
              <w:snapToGrid w:val="0"/>
              <w:spacing w:line="240" w:lineRule="auto"/>
              <w:jc w:val="left"/>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28.质控液：具有水平1、水平2、水平3三种浓度质控液，至少提供两种用于质控</w:t>
            </w:r>
          </w:p>
          <w:p w14:paraId="065E6664">
            <w:pPr>
              <w:snapToGrid w:val="0"/>
              <w:spacing w:line="240" w:lineRule="auto"/>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29.环境温度范围：4℃~30℃</w:t>
            </w:r>
          </w:p>
          <w:p w14:paraId="4F9059D1">
            <w:pPr>
              <w:snapToGrid w:val="0"/>
              <w:spacing w:line="240" w:lineRule="auto"/>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30.相对湿度：10%~85%</w:t>
            </w:r>
          </w:p>
          <w:p w14:paraId="7E1162F8">
            <w:pPr>
              <w:snapToGrid w:val="0"/>
              <w:spacing w:line="240" w:lineRule="auto"/>
              <w:jc w:val="left"/>
              <w:rPr>
                <w:rFonts w:hint="eastAsia" w:ascii="宋体" w:hAnsi="宋体" w:eastAsia="宋体" w:cs="宋体"/>
                <w:color w:val="auto"/>
                <w:sz w:val="21"/>
                <w:szCs w:val="21"/>
                <w:highlight w:val="none"/>
                <w:lang w:val="en-US" w:eastAsia="zh-CN"/>
              </w:rPr>
            </w:pPr>
            <w:r>
              <w:rPr>
                <w:rFonts w:hint="eastAsia" w:ascii="黑体" w:hAnsi="黑体" w:eastAsia="黑体" w:cs="黑体"/>
                <w:sz w:val="21"/>
                <w:szCs w:val="21"/>
                <w:lang w:val="en-US" w:eastAsia="zh-CN"/>
              </w:rPr>
              <w:t>31.</w:t>
            </w:r>
            <w:r>
              <w:rPr>
                <w:rFonts w:hint="eastAsia" w:ascii="黑体" w:hAnsi="黑体" w:eastAsia="黑体" w:cs="黑体"/>
                <w:b w:val="0"/>
                <w:bCs/>
                <w:color w:val="000000"/>
                <w:kern w:val="2"/>
                <w:sz w:val="21"/>
                <w:szCs w:val="21"/>
                <w:highlight w:val="none"/>
              </w:rPr>
              <w:t>★</w:t>
            </w:r>
            <w:r>
              <w:rPr>
                <w:rFonts w:hint="eastAsia" w:ascii="黑体" w:hAnsi="黑体" w:eastAsia="黑体" w:cs="黑体"/>
                <w:sz w:val="21"/>
                <w:szCs w:val="21"/>
                <w:lang w:val="en-US" w:eastAsia="zh-CN"/>
              </w:rPr>
              <w:t>试纸检测环境要求：环境温度范围：5℃~40℃；湿度范围10%~85%</w:t>
            </w:r>
          </w:p>
        </w:tc>
        <w:tc>
          <w:tcPr>
            <w:tcW w:w="229" w:type="pct"/>
            <w:tcBorders>
              <w:top w:val="single" w:color="auto" w:sz="4" w:space="0"/>
              <w:left w:val="single" w:color="auto" w:sz="4" w:space="0"/>
              <w:bottom w:val="single" w:color="auto" w:sz="4" w:space="0"/>
              <w:right w:val="single" w:color="auto" w:sz="4" w:space="0"/>
            </w:tcBorders>
            <w:noWrap w:val="0"/>
            <w:vAlign w:val="center"/>
          </w:tcPr>
          <w:p w14:paraId="12246C8B">
            <w:pPr>
              <w:snapToGrid w:val="0"/>
              <w:spacing w:line="240" w:lineRule="auto"/>
              <w:jc w:val="center"/>
              <w:rPr>
                <w:rFonts w:hint="eastAsia" w:ascii="宋体" w:hAnsi="宋体" w:eastAsia="宋体" w:cs="宋体"/>
                <w:color w:val="auto"/>
                <w:kern w:val="0"/>
                <w:sz w:val="21"/>
                <w:szCs w:val="21"/>
                <w:highlight w:val="none"/>
              </w:rPr>
            </w:pPr>
            <w:r>
              <w:rPr>
                <w:rFonts w:hint="eastAsia" w:ascii="黑体" w:hAnsi="黑体" w:eastAsia="黑体" w:cs="黑体"/>
                <w:i w:val="0"/>
                <w:iCs w:val="0"/>
                <w:color w:val="000000"/>
                <w:kern w:val="0"/>
                <w:sz w:val="21"/>
                <w:szCs w:val="21"/>
                <w:u w:val="none"/>
                <w:lang w:val="en-US" w:eastAsia="zh-CN" w:bidi="ar"/>
              </w:rPr>
              <w:t>片</w:t>
            </w:r>
          </w:p>
        </w:tc>
        <w:tc>
          <w:tcPr>
            <w:tcW w:w="455" w:type="pct"/>
            <w:tcBorders>
              <w:top w:val="single" w:color="auto" w:sz="4" w:space="0"/>
              <w:left w:val="single" w:color="auto" w:sz="4" w:space="0"/>
              <w:bottom w:val="single" w:color="auto" w:sz="4" w:space="0"/>
              <w:right w:val="single" w:color="auto" w:sz="4" w:space="0"/>
            </w:tcBorders>
            <w:noWrap w:val="0"/>
            <w:vAlign w:val="center"/>
          </w:tcPr>
          <w:p w14:paraId="53AE2C5A">
            <w:pPr>
              <w:snapToGrid w:val="0"/>
              <w:spacing w:line="240" w:lineRule="auto"/>
              <w:jc w:val="center"/>
              <w:rPr>
                <w:rFonts w:hint="eastAsia" w:ascii="宋体" w:hAnsi="宋体" w:eastAsia="宋体" w:cs="宋体"/>
                <w:color w:val="auto"/>
                <w:kern w:val="0"/>
                <w:sz w:val="21"/>
                <w:szCs w:val="21"/>
                <w:highlight w:val="none"/>
              </w:rPr>
            </w:pPr>
            <w:r>
              <w:rPr>
                <w:rFonts w:hint="eastAsia" w:ascii="黑体" w:hAnsi="黑体" w:eastAsia="黑体" w:cs="黑体"/>
                <w:sz w:val="21"/>
                <w:szCs w:val="21"/>
                <w:lang w:val="en-US" w:eastAsia="zh-CN"/>
              </w:rPr>
              <w:t>240000</w:t>
            </w:r>
          </w:p>
        </w:tc>
        <w:tc>
          <w:tcPr>
            <w:tcW w:w="456" w:type="pct"/>
            <w:tcBorders>
              <w:top w:val="single" w:color="auto" w:sz="4" w:space="0"/>
              <w:left w:val="single" w:color="auto" w:sz="4" w:space="0"/>
              <w:bottom w:val="single" w:color="auto" w:sz="4" w:space="0"/>
              <w:right w:val="single" w:color="auto" w:sz="4" w:space="0"/>
            </w:tcBorders>
            <w:noWrap w:val="0"/>
            <w:vAlign w:val="center"/>
          </w:tcPr>
          <w:p w14:paraId="55BF00E5">
            <w:pPr>
              <w:snapToGrid w:val="0"/>
              <w:spacing w:line="240" w:lineRule="auto"/>
              <w:jc w:val="center"/>
              <w:rPr>
                <w:rFonts w:hint="eastAsia" w:ascii="宋体" w:hAnsi="宋体" w:eastAsia="宋体" w:cs="宋体"/>
                <w:color w:val="auto"/>
                <w:kern w:val="0"/>
                <w:sz w:val="21"/>
                <w:szCs w:val="21"/>
                <w:highlight w:val="none"/>
              </w:rPr>
            </w:pPr>
            <w:r>
              <w:rPr>
                <w:rFonts w:hint="eastAsia" w:ascii="黑体" w:hAnsi="黑体" w:eastAsia="黑体" w:cs="黑体"/>
                <w:sz w:val="21"/>
                <w:szCs w:val="21"/>
                <w:lang w:val="en-US" w:eastAsia="zh-CN"/>
              </w:rPr>
              <w:t>1.1</w:t>
            </w:r>
          </w:p>
        </w:tc>
      </w:tr>
      <w:tr w14:paraId="4AA9F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9" w:type="pct"/>
            <w:tcBorders>
              <w:top w:val="single" w:color="auto" w:sz="4" w:space="0"/>
              <w:left w:val="single" w:color="auto" w:sz="4" w:space="0"/>
              <w:bottom w:val="single" w:color="auto" w:sz="4" w:space="0"/>
              <w:right w:val="single" w:color="auto" w:sz="4" w:space="0"/>
            </w:tcBorders>
            <w:noWrap w:val="0"/>
            <w:vAlign w:val="center"/>
          </w:tcPr>
          <w:p w14:paraId="3D8F5F4D">
            <w:pPr>
              <w:snapToGrid w:val="0"/>
              <w:spacing w:line="240" w:lineRule="auto"/>
              <w:jc w:val="center"/>
              <w:rPr>
                <w:rFonts w:hint="eastAsia" w:ascii="宋体" w:hAnsi="宋体" w:eastAsia="宋体" w:cs="宋体"/>
                <w:color w:val="auto"/>
                <w:kern w:val="0"/>
                <w:sz w:val="21"/>
                <w:szCs w:val="21"/>
                <w:highlight w:val="none"/>
              </w:rPr>
            </w:pPr>
            <w:r>
              <w:rPr>
                <w:rFonts w:hint="eastAsia" w:ascii="黑体" w:hAnsi="黑体" w:eastAsia="黑体" w:cs="黑体"/>
                <w:sz w:val="21"/>
                <w:szCs w:val="21"/>
                <w:lang w:val="en-US" w:eastAsia="zh-CN"/>
              </w:rPr>
              <w:t>2</w:t>
            </w:r>
          </w:p>
        </w:tc>
        <w:tc>
          <w:tcPr>
            <w:tcW w:w="254" w:type="pct"/>
            <w:tcBorders>
              <w:top w:val="single" w:color="auto" w:sz="4" w:space="0"/>
              <w:left w:val="single" w:color="auto" w:sz="4" w:space="0"/>
              <w:bottom w:val="single" w:color="auto" w:sz="4" w:space="0"/>
              <w:right w:val="single" w:color="auto" w:sz="4" w:space="0"/>
            </w:tcBorders>
            <w:noWrap w:val="0"/>
            <w:vAlign w:val="center"/>
          </w:tcPr>
          <w:p w14:paraId="1B33B7AD">
            <w:pPr>
              <w:snapToGrid w:val="0"/>
              <w:spacing w:line="240" w:lineRule="auto"/>
              <w:jc w:val="center"/>
              <w:rPr>
                <w:rFonts w:hint="eastAsia" w:ascii="宋体" w:hAnsi="宋体" w:eastAsia="宋体" w:cs="宋体"/>
                <w:color w:val="auto"/>
                <w:kern w:val="0"/>
                <w:sz w:val="21"/>
                <w:szCs w:val="21"/>
                <w:highlight w:val="none"/>
              </w:rPr>
            </w:pPr>
            <w:r>
              <w:rPr>
                <w:rFonts w:hint="eastAsia" w:ascii="黑体" w:hAnsi="黑体" w:eastAsia="黑体" w:cs="黑体"/>
                <w:sz w:val="21"/>
                <w:szCs w:val="21"/>
                <w:lang w:val="en-US" w:eastAsia="zh-CN"/>
              </w:rPr>
              <w:t>持续葡萄糖传感器</w:t>
            </w:r>
          </w:p>
        </w:tc>
        <w:tc>
          <w:tcPr>
            <w:tcW w:w="3374" w:type="pct"/>
            <w:tcBorders>
              <w:top w:val="single" w:color="auto" w:sz="4" w:space="0"/>
              <w:left w:val="single" w:color="auto" w:sz="4" w:space="0"/>
              <w:bottom w:val="single" w:color="auto" w:sz="4" w:space="0"/>
              <w:right w:val="single" w:color="auto" w:sz="4" w:space="0"/>
            </w:tcBorders>
            <w:noWrap w:val="0"/>
            <w:vAlign w:val="center"/>
          </w:tcPr>
          <w:p w14:paraId="40D602A8">
            <w:pPr>
              <w:snapToGrid w:val="0"/>
              <w:spacing w:line="240" w:lineRule="auto"/>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一、持续葡萄糖传感器参数</w:t>
            </w:r>
          </w:p>
          <w:p w14:paraId="7D6199F4">
            <w:pPr>
              <w:snapToGrid w:val="0"/>
              <w:spacing w:line="240" w:lineRule="auto"/>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1. 显示方式：蓝牙实时动态监测  (非扫描、非回顾)</w:t>
            </w:r>
          </w:p>
          <w:p w14:paraId="46656AFE">
            <w:pPr>
              <w:snapToGrid w:val="0"/>
              <w:spacing w:line="240" w:lineRule="auto"/>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2. 传感器探针特性：柔性软针(无断针风险)</w:t>
            </w:r>
          </w:p>
          <w:p w14:paraId="7AE7F78E">
            <w:pPr>
              <w:snapToGrid w:val="0"/>
              <w:spacing w:line="240" w:lineRule="auto"/>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3.24小时葡萄糖数据点：≥288个</w:t>
            </w:r>
          </w:p>
          <w:p w14:paraId="383AC01E">
            <w:pPr>
              <w:snapToGrid w:val="0"/>
              <w:spacing w:line="240" w:lineRule="auto"/>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4. 实验室测试准确性：整体MARD 值≤8.7%。</w:t>
            </w:r>
          </w:p>
          <w:p w14:paraId="0593AA6C">
            <w:pPr>
              <w:snapToGrid w:val="0"/>
              <w:spacing w:line="240" w:lineRule="auto"/>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 校准方法：出厂校准，用户无需校准。</w:t>
            </w:r>
          </w:p>
          <w:p w14:paraId="0137E077">
            <w:pPr>
              <w:snapToGrid w:val="0"/>
              <w:spacing w:line="240" w:lineRule="auto"/>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w:t>
            </w:r>
            <w:r>
              <w:rPr>
                <w:rFonts w:hint="eastAsia" w:ascii="黑体" w:hAnsi="黑体" w:eastAsia="黑体" w:cs="黑体"/>
                <w:b w:val="0"/>
                <w:bCs/>
                <w:color w:val="000000"/>
                <w:kern w:val="2"/>
                <w:sz w:val="21"/>
                <w:szCs w:val="21"/>
                <w:highlight w:val="none"/>
              </w:rPr>
              <w:t>★</w:t>
            </w:r>
            <w:r>
              <w:rPr>
                <w:rFonts w:hint="eastAsia" w:ascii="黑体" w:hAnsi="黑体" w:eastAsia="黑体" w:cs="黑体"/>
                <w:sz w:val="21"/>
                <w:szCs w:val="21"/>
                <w:lang w:val="en-US" w:eastAsia="zh-CN"/>
              </w:rPr>
              <w:t>传感器初始化时间：≤45min</w:t>
            </w:r>
          </w:p>
          <w:p w14:paraId="5B8E836B">
            <w:pPr>
              <w:snapToGrid w:val="0"/>
              <w:spacing w:line="240" w:lineRule="auto"/>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7.</w:t>
            </w:r>
            <w:r>
              <w:rPr>
                <w:rFonts w:hint="eastAsia" w:ascii="黑体" w:hAnsi="黑体" w:eastAsia="黑体" w:cs="黑体"/>
                <w:b w:val="0"/>
                <w:bCs/>
                <w:color w:val="000000"/>
                <w:kern w:val="2"/>
                <w:sz w:val="21"/>
                <w:szCs w:val="21"/>
                <w:highlight w:val="none"/>
              </w:rPr>
              <w:t>★</w:t>
            </w:r>
            <w:r>
              <w:rPr>
                <w:rFonts w:hint="eastAsia" w:ascii="黑体" w:hAnsi="黑体" w:eastAsia="黑体" w:cs="黑体"/>
                <w:sz w:val="21"/>
                <w:szCs w:val="21"/>
                <w:lang w:val="en-US" w:eastAsia="zh-CN"/>
              </w:rPr>
              <w:t xml:space="preserve"> 产品最长有效使用寿命：8--16天</w:t>
            </w:r>
          </w:p>
          <w:p w14:paraId="1D2F0CC3">
            <w:pPr>
              <w:snapToGrid w:val="0"/>
              <w:spacing w:line="240" w:lineRule="auto"/>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8.</w:t>
            </w:r>
            <w:r>
              <w:rPr>
                <w:rFonts w:hint="eastAsia" w:ascii="黑体" w:hAnsi="黑体" w:eastAsia="黑体" w:cs="黑体"/>
                <w:b w:val="0"/>
                <w:bCs/>
                <w:color w:val="000000"/>
                <w:kern w:val="2"/>
                <w:sz w:val="21"/>
                <w:szCs w:val="21"/>
                <w:highlight w:val="none"/>
              </w:rPr>
              <w:t>★</w:t>
            </w:r>
            <w:r>
              <w:rPr>
                <w:rFonts w:hint="eastAsia" w:ascii="黑体" w:hAnsi="黑体" w:eastAsia="黑体" w:cs="黑体"/>
                <w:sz w:val="21"/>
                <w:szCs w:val="21"/>
                <w:lang w:val="en-US" w:eastAsia="zh-CN"/>
              </w:rPr>
              <w:t xml:space="preserve"> 持续葡萄糖监测系统血糖可报告范围：1.7-27.8mmol/L</w:t>
            </w:r>
          </w:p>
          <w:p w14:paraId="676E20AD">
            <w:pPr>
              <w:snapToGrid w:val="0"/>
              <w:spacing w:line="240" w:lineRule="auto"/>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9. 产品有效期：12个月</w:t>
            </w:r>
          </w:p>
          <w:p w14:paraId="7C6491F7">
            <w:pPr>
              <w:snapToGrid w:val="0"/>
              <w:spacing w:line="240" w:lineRule="auto"/>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10 . 电极数量：3电极</w:t>
            </w:r>
          </w:p>
          <w:p w14:paraId="5046CC44">
            <w:pPr>
              <w:snapToGrid w:val="0"/>
              <w:spacing w:line="240" w:lineRule="auto"/>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11. 防水等级：IP58,5 级防尘，8级防水(1.5米水深，1小时)</w:t>
            </w:r>
          </w:p>
          <w:p w14:paraId="69C3C91C">
            <w:pPr>
              <w:snapToGrid w:val="0"/>
              <w:spacing w:line="240" w:lineRule="auto"/>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12. 佩戴部位：腹部或上臂侧后方</w:t>
            </w:r>
          </w:p>
          <w:p w14:paraId="57F7F952">
            <w:pPr>
              <w:snapToGrid w:val="0"/>
              <w:spacing w:line="240" w:lineRule="auto"/>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13. 高低血糖提示：有，高低提示值可跟根据不同患者情况设定</w:t>
            </w:r>
          </w:p>
          <w:p w14:paraId="12AEB8CB">
            <w:pPr>
              <w:snapToGrid w:val="0"/>
              <w:spacing w:line="240" w:lineRule="auto"/>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14.事件记录：有，可记录胰岛素注射(基础/餐时)、GLP-1RA 注射、运动、饮食、口服药等事件</w:t>
            </w:r>
          </w:p>
          <w:p w14:paraId="4A2EBE19">
            <w:pPr>
              <w:snapToGrid w:val="0"/>
              <w:spacing w:line="240" w:lineRule="auto"/>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15.</w:t>
            </w:r>
            <w:r>
              <w:rPr>
                <w:rFonts w:hint="eastAsia" w:ascii="黑体" w:hAnsi="黑体" w:eastAsia="黑体" w:cs="黑体"/>
                <w:b w:val="0"/>
                <w:bCs/>
                <w:color w:val="000000"/>
                <w:kern w:val="2"/>
                <w:sz w:val="21"/>
                <w:szCs w:val="21"/>
                <w:highlight w:val="none"/>
              </w:rPr>
              <w:t>★</w:t>
            </w:r>
            <w:r>
              <w:rPr>
                <w:rFonts w:hint="eastAsia" w:ascii="黑体" w:hAnsi="黑体" w:eastAsia="黑体" w:cs="黑体"/>
                <w:sz w:val="21"/>
                <w:szCs w:val="21"/>
                <w:lang w:val="en-US" w:eastAsia="zh-CN"/>
              </w:rPr>
              <w:t xml:space="preserve"> 一体式：传感器、发射器、助针器一体化设计，可保存最长16天的监测数据</w:t>
            </w:r>
          </w:p>
          <w:p w14:paraId="74924F5A">
            <w:pPr>
              <w:snapToGrid w:val="0"/>
              <w:spacing w:line="240" w:lineRule="auto"/>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16. 传感器经过电子束辐照灭菌，为一次性使用器械</w:t>
            </w:r>
          </w:p>
          <w:p w14:paraId="6700EFFB">
            <w:pPr>
              <w:snapToGrid w:val="0"/>
              <w:spacing w:line="240" w:lineRule="auto"/>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17. 实验室测试准确性性(线性偏差):葡萄糖浓度&lt;5.55mmol/L 应不超过±0.83mmol/L, 葡萄糖浓度≥ 5.55mmol/L 应不超过±15%</w:t>
            </w:r>
          </w:p>
          <w:p w14:paraId="302C4CC6">
            <w:pPr>
              <w:snapToGrid w:val="0"/>
              <w:spacing w:line="240" w:lineRule="auto"/>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18.</w:t>
            </w:r>
            <w:r>
              <w:rPr>
                <w:rFonts w:hint="eastAsia" w:ascii="黑体" w:hAnsi="黑体" w:eastAsia="黑体" w:cs="黑体"/>
                <w:b w:val="0"/>
                <w:bCs/>
                <w:color w:val="000000"/>
                <w:kern w:val="2"/>
                <w:sz w:val="21"/>
                <w:szCs w:val="21"/>
                <w:highlight w:val="none"/>
              </w:rPr>
              <w:t>★</w:t>
            </w:r>
            <w:r>
              <w:rPr>
                <w:rFonts w:hint="eastAsia" w:ascii="黑体" w:hAnsi="黑体" w:eastAsia="黑体" w:cs="黑体"/>
                <w:sz w:val="21"/>
                <w:szCs w:val="21"/>
                <w:lang w:val="en-US" w:eastAsia="zh-CN"/>
              </w:rPr>
              <w:t>准确度符合iCGMS的准确性要求</w:t>
            </w:r>
          </w:p>
          <w:p w14:paraId="5A00BC58">
            <w:pPr>
              <w:snapToGrid w:val="0"/>
              <w:spacing w:line="240" w:lineRule="auto"/>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19. 电源类型：氧化银电池</w:t>
            </w:r>
          </w:p>
          <w:p w14:paraId="4EFCDC5D">
            <w:pPr>
              <w:snapToGrid w:val="0"/>
              <w:spacing w:line="240" w:lineRule="auto"/>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20. 使用场景：医疗机构&amp;家庭环境</w:t>
            </w:r>
          </w:p>
          <w:p w14:paraId="47D72F69">
            <w:pPr>
              <w:snapToGrid w:val="0"/>
              <w:spacing w:line="240" w:lineRule="auto"/>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21. 产品类别：Ⅲ类器械</w:t>
            </w:r>
          </w:p>
          <w:p w14:paraId="747DA14D">
            <w:pPr>
              <w:snapToGrid w:val="0"/>
              <w:spacing w:line="240" w:lineRule="auto"/>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22. 蓝牙传输距离：≥6米</w:t>
            </w:r>
          </w:p>
          <w:p w14:paraId="1E518065">
            <w:pPr>
              <w:snapToGrid w:val="0"/>
              <w:spacing w:line="240" w:lineRule="auto"/>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23. 工作环境：产品工作环境5℃~40℃,10%～93%RH; 大气压力：700hPa～1060hPa</w:t>
            </w:r>
          </w:p>
          <w:p w14:paraId="1E1743F8">
            <w:pPr>
              <w:pStyle w:val="4"/>
              <w:spacing w:before="82" w:line="222" w:lineRule="auto"/>
              <w:ind w:left="124"/>
              <w:rPr>
                <w:rFonts w:hint="eastAsia" w:ascii="黑体" w:hAnsi="黑体" w:eastAsia="黑体" w:cs="黑体"/>
                <w:sz w:val="21"/>
                <w:szCs w:val="21"/>
              </w:rPr>
            </w:pPr>
            <w:r>
              <w:rPr>
                <w:rFonts w:hint="eastAsia" w:ascii="黑体" w:hAnsi="黑体" w:eastAsia="黑体" w:cs="黑体"/>
                <w:spacing w:val="-7"/>
                <w:sz w:val="21"/>
                <w:szCs w:val="21"/>
              </w:rPr>
              <w:t>24.</w:t>
            </w:r>
            <w:r>
              <w:rPr>
                <w:rFonts w:hint="eastAsia" w:ascii="黑体" w:hAnsi="黑体" w:eastAsia="黑体" w:cs="黑体"/>
                <w:spacing w:val="-30"/>
                <w:sz w:val="21"/>
                <w:szCs w:val="21"/>
              </w:rPr>
              <w:t xml:space="preserve"> </w:t>
            </w:r>
            <w:r>
              <w:rPr>
                <w:rFonts w:hint="eastAsia" w:ascii="黑体" w:hAnsi="黑体" w:eastAsia="黑体" w:cs="黑体"/>
                <w:spacing w:val="-7"/>
                <w:sz w:val="21"/>
                <w:szCs w:val="21"/>
              </w:rPr>
              <w:t>运输及存储环境：</w:t>
            </w:r>
          </w:p>
          <w:p w14:paraId="6EA1BCD3">
            <w:pPr>
              <w:spacing w:line="169" w:lineRule="exact"/>
              <w:rPr>
                <w:rFonts w:hint="eastAsia" w:ascii="黑体" w:hAnsi="黑体" w:eastAsia="黑体" w:cs="黑体"/>
                <w:sz w:val="21"/>
                <w:szCs w:val="21"/>
              </w:rPr>
            </w:pPr>
          </w:p>
          <w:tbl>
            <w:tblPr>
              <w:tblStyle w:val="8"/>
              <w:tblpPr w:leftFromText="180" w:rightFromText="180" w:vertAnchor="text" w:horzAnchor="page" w:tblpX="143" w:tblpY="179"/>
              <w:tblOverlap w:val="never"/>
              <w:tblW w:w="60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132"/>
              <w:gridCol w:w="1767"/>
              <w:gridCol w:w="2139"/>
            </w:tblGrid>
            <w:tr w14:paraId="40AD4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2132" w:type="dxa"/>
                  <w:noWrap w:val="0"/>
                  <w:vAlign w:val="center"/>
                </w:tcPr>
                <w:p w14:paraId="2F80D6D9">
                  <w:pPr>
                    <w:spacing w:before="81" w:line="220" w:lineRule="auto"/>
                    <w:ind w:firstLine="668" w:firstLineChars="300"/>
                    <w:jc w:val="both"/>
                    <w:rPr>
                      <w:rFonts w:hint="eastAsia" w:ascii="黑体" w:hAnsi="黑体" w:eastAsia="黑体" w:cs="黑体"/>
                      <w:sz w:val="21"/>
                      <w:szCs w:val="21"/>
                    </w:rPr>
                  </w:pPr>
                  <w:r>
                    <w:rPr>
                      <w:rFonts w:hint="eastAsia" w:ascii="黑体" w:hAnsi="黑体" w:eastAsia="黑体" w:cs="黑体"/>
                      <w:b/>
                      <w:bCs/>
                      <w:spacing w:val="6"/>
                      <w:sz w:val="21"/>
                      <w:szCs w:val="21"/>
                    </w:rPr>
                    <w:t>环境项目</w:t>
                  </w:r>
                </w:p>
              </w:tc>
              <w:tc>
                <w:tcPr>
                  <w:tcW w:w="1767" w:type="dxa"/>
                  <w:noWrap w:val="0"/>
                  <w:vAlign w:val="center"/>
                </w:tcPr>
                <w:p w14:paraId="6984A1A1">
                  <w:pPr>
                    <w:spacing w:before="80" w:line="219" w:lineRule="auto"/>
                    <w:ind w:firstLine="406" w:firstLineChars="200"/>
                    <w:jc w:val="both"/>
                    <w:rPr>
                      <w:rFonts w:hint="eastAsia" w:ascii="黑体" w:hAnsi="黑体" w:eastAsia="黑体" w:cs="黑体"/>
                      <w:sz w:val="21"/>
                      <w:szCs w:val="21"/>
                    </w:rPr>
                  </w:pPr>
                  <w:r>
                    <w:rPr>
                      <w:rFonts w:hint="eastAsia" w:ascii="黑体" w:hAnsi="黑体" w:eastAsia="黑体" w:cs="黑体"/>
                      <w:b/>
                      <w:bCs/>
                      <w:spacing w:val="-4"/>
                      <w:sz w:val="21"/>
                      <w:szCs w:val="21"/>
                    </w:rPr>
                    <w:t>存储要求</w:t>
                  </w:r>
                </w:p>
              </w:tc>
              <w:tc>
                <w:tcPr>
                  <w:tcW w:w="2139" w:type="dxa"/>
                  <w:noWrap w:val="0"/>
                  <w:vAlign w:val="center"/>
                </w:tcPr>
                <w:p w14:paraId="2AA52BEA">
                  <w:pPr>
                    <w:spacing w:before="80" w:line="219" w:lineRule="auto"/>
                    <w:ind w:firstLine="811" w:firstLineChars="400"/>
                    <w:jc w:val="both"/>
                    <w:rPr>
                      <w:rFonts w:hint="eastAsia" w:ascii="黑体" w:hAnsi="黑体" w:eastAsia="黑体" w:cs="黑体"/>
                      <w:sz w:val="21"/>
                      <w:szCs w:val="21"/>
                    </w:rPr>
                  </w:pPr>
                  <w:r>
                    <w:rPr>
                      <w:rFonts w:hint="eastAsia" w:ascii="黑体" w:hAnsi="黑体" w:eastAsia="黑体" w:cs="黑体"/>
                      <w:b/>
                      <w:bCs/>
                      <w:spacing w:val="-4"/>
                      <w:sz w:val="21"/>
                      <w:szCs w:val="21"/>
                    </w:rPr>
                    <w:t>运输要求</w:t>
                  </w:r>
                </w:p>
              </w:tc>
            </w:tr>
            <w:tr w14:paraId="00DBD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2132" w:type="dxa"/>
                  <w:noWrap w:val="0"/>
                  <w:vAlign w:val="center"/>
                </w:tcPr>
                <w:p w14:paraId="23183DAE">
                  <w:pPr>
                    <w:spacing w:before="131" w:line="200" w:lineRule="auto"/>
                    <w:ind w:firstLine="888" w:firstLineChars="400"/>
                    <w:jc w:val="both"/>
                    <w:rPr>
                      <w:rFonts w:hint="eastAsia" w:ascii="黑体" w:hAnsi="黑体" w:eastAsia="黑体" w:cs="黑体"/>
                      <w:sz w:val="21"/>
                      <w:szCs w:val="21"/>
                    </w:rPr>
                  </w:pPr>
                  <w:r>
                    <w:rPr>
                      <w:rFonts w:hint="eastAsia" w:ascii="黑体" w:hAnsi="黑体" w:eastAsia="黑体" w:cs="黑体"/>
                      <w:spacing w:val="6"/>
                      <w:sz w:val="21"/>
                      <w:szCs w:val="21"/>
                    </w:rPr>
                    <w:t>温度/℃</w:t>
                  </w:r>
                </w:p>
              </w:tc>
              <w:tc>
                <w:tcPr>
                  <w:tcW w:w="1767" w:type="dxa"/>
                  <w:noWrap w:val="0"/>
                  <w:vAlign w:val="center"/>
                </w:tcPr>
                <w:p w14:paraId="696AAEB3">
                  <w:pPr>
                    <w:spacing w:before="150" w:line="182" w:lineRule="auto"/>
                    <w:ind w:firstLine="618" w:firstLineChars="300"/>
                    <w:jc w:val="both"/>
                    <w:rPr>
                      <w:rFonts w:hint="eastAsia" w:ascii="黑体" w:hAnsi="黑体" w:eastAsia="黑体" w:cs="黑体"/>
                      <w:sz w:val="21"/>
                      <w:szCs w:val="21"/>
                    </w:rPr>
                  </w:pPr>
                  <w:r>
                    <w:rPr>
                      <w:rFonts w:hint="eastAsia" w:ascii="黑体" w:hAnsi="黑体" w:eastAsia="黑体" w:cs="黑体"/>
                      <w:spacing w:val="-2"/>
                      <w:sz w:val="21"/>
                      <w:szCs w:val="21"/>
                    </w:rPr>
                    <w:t>2℃~30℃</w:t>
                  </w:r>
                </w:p>
              </w:tc>
              <w:tc>
                <w:tcPr>
                  <w:tcW w:w="2139" w:type="dxa"/>
                  <w:noWrap w:val="0"/>
                  <w:vAlign w:val="center"/>
                </w:tcPr>
                <w:p w14:paraId="53B6BA59">
                  <w:pPr>
                    <w:spacing w:before="160" w:line="173" w:lineRule="auto"/>
                    <w:ind w:firstLine="618" w:firstLineChars="300"/>
                    <w:jc w:val="both"/>
                    <w:rPr>
                      <w:rFonts w:hint="eastAsia" w:ascii="黑体" w:hAnsi="黑体" w:eastAsia="黑体" w:cs="黑体"/>
                      <w:sz w:val="21"/>
                      <w:szCs w:val="21"/>
                    </w:rPr>
                  </w:pPr>
                  <w:r>
                    <w:rPr>
                      <w:rFonts w:hint="eastAsia" w:ascii="黑体" w:hAnsi="黑体" w:eastAsia="黑体" w:cs="黑体"/>
                      <w:spacing w:val="-2"/>
                      <w:sz w:val="21"/>
                      <w:szCs w:val="21"/>
                    </w:rPr>
                    <w:t>2℃~40℃</w:t>
                  </w:r>
                </w:p>
              </w:tc>
            </w:tr>
            <w:tr w14:paraId="20F61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2132" w:type="dxa"/>
                  <w:noWrap w:val="0"/>
                  <w:vAlign w:val="center"/>
                </w:tcPr>
                <w:p w14:paraId="6E2F9A73">
                  <w:pPr>
                    <w:spacing w:before="143" w:line="197" w:lineRule="auto"/>
                    <w:ind w:firstLine="416" w:firstLineChars="200"/>
                    <w:jc w:val="both"/>
                    <w:rPr>
                      <w:rFonts w:hint="eastAsia" w:ascii="黑体" w:hAnsi="黑体" w:eastAsia="黑体" w:cs="黑体"/>
                      <w:sz w:val="21"/>
                      <w:szCs w:val="21"/>
                    </w:rPr>
                  </w:pPr>
                  <w:r>
                    <w:rPr>
                      <w:rFonts w:hint="eastAsia" w:ascii="黑体" w:hAnsi="黑体" w:eastAsia="黑体" w:cs="黑体"/>
                      <w:spacing w:val="-1"/>
                      <w:sz w:val="21"/>
                      <w:szCs w:val="21"/>
                    </w:rPr>
                    <w:t>相对湿度(RH)%</w:t>
                  </w:r>
                </w:p>
              </w:tc>
              <w:tc>
                <w:tcPr>
                  <w:tcW w:w="1767" w:type="dxa"/>
                  <w:noWrap w:val="0"/>
                  <w:vAlign w:val="center"/>
                </w:tcPr>
                <w:p w14:paraId="52E1864D">
                  <w:pPr>
                    <w:spacing w:before="163" w:line="179" w:lineRule="auto"/>
                    <w:ind w:firstLine="606" w:firstLineChars="300"/>
                    <w:jc w:val="both"/>
                    <w:rPr>
                      <w:rFonts w:hint="eastAsia" w:ascii="黑体" w:hAnsi="黑体" w:eastAsia="黑体" w:cs="黑体"/>
                      <w:sz w:val="21"/>
                      <w:szCs w:val="21"/>
                    </w:rPr>
                  </w:pPr>
                  <w:r>
                    <w:rPr>
                      <w:rFonts w:hint="eastAsia" w:ascii="黑体" w:hAnsi="黑体" w:eastAsia="黑体" w:cs="黑体"/>
                      <w:spacing w:val="-4"/>
                      <w:sz w:val="21"/>
                      <w:szCs w:val="21"/>
                    </w:rPr>
                    <w:t>10%-90%</w:t>
                  </w:r>
                </w:p>
              </w:tc>
              <w:tc>
                <w:tcPr>
                  <w:tcW w:w="2139" w:type="dxa"/>
                  <w:noWrap w:val="0"/>
                  <w:vAlign w:val="center"/>
                </w:tcPr>
                <w:p w14:paraId="5605484C">
                  <w:pPr>
                    <w:spacing w:before="163" w:line="179" w:lineRule="auto"/>
                    <w:ind w:firstLine="808" w:firstLineChars="400"/>
                    <w:jc w:val="both"/>
                    <w:rPr>
                      <w:rFonts w:hint="eastAsia" w:ascii="黑体" w:hAnsi="黑体" w:eastAsia="黑体" w:cs="黑体"/>
                      <w:sz w:val="21"/>
                      <w:szCs w:val="21"/>
                    </w:rPr>
                  </w:pPr>
                  <w:r>
                    <w:rPr>
                      <w:rFonts w:hint="eastAsia" w:ascii="黑体" w:hAnsi="黑体" w:eastAsia="黑体" w:cs="黑体"/>
                      <w:spacing w:val="-4"/>
                      <w:sz w:val="21"/>
                      <w:szCs w:val="21"/>
                    </w:rPr>
                    <w:t>10%-90%</w:t>
                  </w:r>
                </w:p>
              </w:tc>
            </w:tr>
            <w:tr w14:paraId="2AC51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132" w:type="dxa"/>
                  <w:noWrap w:val="0"/>
                  <w:vAlign w:val="center"/>
                </w:tcPr>
                <w:p w14:paraId="0CB16B3C">
                  <w:pPr>
                    <w:spacing w:before="126" w:line="209" w:lineRule="auto"/>
                    <w:ind w:firstLine="824" w:firstLineChars="400"/>
                    <w:jc w:val="both"/>
                    <w:rPr>
                      <w:rFonts w:hint="eastAsia" w:ascii="黑体" w:hAnsi="黑体" w:eastAsia="黑体" w:cs="黑体"/>
                      <w:sz w:val="21"/>
                      <w:szCs w:val="21"/>
                    </w:rPr>
                  </w:pPr>
                  <w:r>
                    <w:rPr>
                      <w:rFonts w:hint="eastAsia" w:ascii="黑体" w:hAnsi="黑体" w:eastAsia="黑体" w:cs="黑体"/>
                      <w:spacing w:val="-2"/>
                      <w:sz w:val="21"/>
                      <w:szCs w:val="21"/>
                    </w:rPr>
                    <w:t>压力hPa</w:t>
                  </w:r>
                </w:p>
              </w:tc>
              <w:tc>
                <w:tcPr>
                  <w:tcW w:w="1767" w:type="dxa"/>
                  <w:noWrap w:val="0"/>
                  <w:vAlign w:val="center"/>
                </w:tcPr>
                <w:p w14:paraId="1FDD5EA1">
                  <w:pPr>
                    <w:spacing w:before="155" w:line="182" w:lineRule="auto"/>
                    <w:ind w:firstLine="208" w:firstLineChars="100"/>
                    <w:jc w:val="both"/>
                    <w:rPr>
                      <w:rFonts w:hint="eastAsia" w:ascii="黑体" w:hAnsi="黑体" w:eastAsia="黑体" w:cs="黑体"/>
                      <w:sz w:val="21"/>
                      <w:szCs w:val="21"/>
                    </w:rPr>
                  </w:pPr>
                  <w:r>
                    <w:rPr>
                      <w:rFonts w:hint="eastAsia" w:ascii="黑体" w:hAnsi="黑体" w:eastAsia="黑体" w:cs="黑体"/>
                      <w:spacing w:val="-1"/>
                      <w:sz w:val="21"/>
                      <w:szCs w:val="21"/>
                    </w:rPr>
                    <w:t>700hPa-1060hPa</w:t>
                  </w:r>
                </w:p>
              </w:tc>
              <w:tc>
                <w:tcPr>
                  <w:tcW w:w="2139" w:type="dxa"/>
                  <w:noWrap w:val="0"/>
                  <w:vAlign w:val="center"/>
                </w:tcPr>
                <w:p w14:paraId="5C4DAFA1">
                  <w:pPr>
                    <w:spacing w:before="155" w:line="182" w:lineRule="auto"/>
                    <w:ind w:firstLine="416" w:firstLineChars="200"/>
                    <w:jc w:val="both"/>
                    <w:rPr>
                      <w:rFonts w:hint="eastAsia" w:ascii="黑体" w:hAnsi="黑体" w:eastAsia="黑体" w:cs="黑体"/>
                      <w:sz w:val="21"/>
                      <w:szCs w:val="21"/>
                    </w:rPr>
                  </w:pPr>
                  <w:r>
                    <w:rPr>
                      <w:rFonts w:hint="eastAsia" w:ascii="黑体" w:hAnsi="黑体" w:eastAsia="黑体" w:cs="黑体"/>
                      <w:spacing w:val="-1"/>
                      <w:sz w:val="21"/>
                      <w:szCs w:val="21"/>
                    </w:rPr>
                    <w:t>700hPa-1060hPa</w:t>
                  </w:r>
                </w:p>
              </w:tc>
            </w:tr>
          </w:tbl>
          <w:p w14:paraId="4BB84441">
            <w:pPr>
              <w:snapToGrid w:val="0"/>
              <w:spacing w:line="240" w:lineRule="auto"/>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二、实时传输系统功能：</w:t>
            </w:r>
          </w:p>
          <w:p w14:paraId="57F5DBDC">
            <w:pPr>
              <w:snapToGrid w:val="0"/>
              <w:spacing w:line="240" w:lineRule="auto"/>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1、配置 Pad, 用于实现血糖数据的自动上传</w:t>
            </w:r>
          </w:p>
          <w:p w14:paraId="67A5B1B2">
            <w:pPr>
              <w:snapToGrid w:val="0"/>
              <w:spacing w:line="240" w:lineRule="auto"/>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2、实现多患者数据实时自动传输，在多终端(如电脑、查房Pad、电视大屏)实时查看，并在系统中实时生 成专业图谱、指南图谱和 AGP 图谱及报告；</w:t>
            </w:r>
          </w:p>
          <w:p w14:paraId="37AC400D">
            <w:pPr>
              <w:snapToGrid w:val="0"/>
              <w:spacing w:line="240" w:lineRule="auto"/>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3、多终端实时高、低血糖提示。</w:t>
            </w:r>
          </w:p>
          <w:p w14:paraId="39974693">
            <w:pPr>
              <w:snapToGrid w:val="0"/>
              <w:spacing w:line="240" w:lineRule="auto"/>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4、通过记录患者胰岛素注射(基础/餐时)、GLP-1RA 注射、运动、饮食、口服药等事件，对患者空腹血糖、 餐后血糖及夜间低血糖的波动影响分析，为临床治疗方案调整提供参考，但不作为决定和调整糖尿病患者 治疗方案的依据。</w:t>
            </w:r>
          </w:p>
          <w:p w14:paraId="59FF2A52">
            <w:pPr>
              <w:snapToGrid w:val="0"/>
              <w:spacing w:line="240" w:lineRule="auto"/>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5、CGM患者数据统计：年龄段、糖尿病分型、性别组成、佩戴人数等。</w:t>
            </w:r>
          </w:p>
          <w:p w14:paraId="4A4BB824">
            <w:pPr>
              <w:snapToGrid w:val="0"/>
              <w:spacing w:line="240" w:lineRule="auto"/>
              <w:jc w:val="left"/>
              <w:rPr>
                <w:rFonts w:hint="eastAsia" w:ascii="宋体" w:hAnsi="宋体" w:eastAsia="宋体" w:cs="宋体"/>
                <w:color w:val="auto"/>
                <w:sz w:val="21"/>
                <w:szCs w:val="21"/>
                <w:highlight w:val="none"/>
                <w:lang w:val="en-US" w:eastAsia="zh-CN"/>
              </w:rPr>
            </w:pPr>
            <w:r>
              <w:rPr>
                <w:rFonts w:hint="eastAsia" w:ascii="黑体" w:hAnsi="黑体" w:eastAsia="黑体" w:cs="黑体"/>
                <w:sz w:val="21"/>
                <w:szCs w:val="21"/>
                <w:lang w:val="en-US" w:eastAsia="zh-CN"/>
              </w:rPr>
              <w:t>6、CGM患者血糖情况统计：正常血糖比例、高血糖比例、低血糖及极低血糖比例。</w:t>
            </w:r>
          </w:p>
        </w:tc>
        <w:tc>
          <w:tcPr>
            <w:tcW w:w="229" w:type="pct"/>
            <w:tcBorders>
              <w:top w:val="single" w:color="auto" w:sz="4" w:space="0"/>
              <w:left w:val="single" w:color="auto" w:sz="4" w:space="0"/>
              <w:bottom w:val="single" w:color="auto" w:sz="4" w:space="0"/>
              <w:right w:val="single" w:color="auto" w:sz="4" w:space="0"/>
            </w:tcBorders>
            <w:noWrap w:val="0"/>
            <w:vAlign w:val="center"/>
          </w:tcPr>
          <w:p w14:paraId="50CAB99E">
            <w:pPr>
              <w:snapToGrid w:val="0"/>
              <w:spacing w:line="240" w:lineRule="auto"/>
              <w:jc w:val="center"/>
              <w:rPr>
                <w:rFonts w:hint="eastAsia" w:ascii="宋体" w:hAnsi="宋体" w:eastAsia="宋体" w:cs="宋体"/>
                <w:color w:val="auto"/>
                <w:kern w:val="0"/>
                <w:sz w:val="21"/>
                <w:szCs w:val="21"/>
                <w:highlight w:val="none"/>
              </w:rPr>
            </w:pPr>
            <w:r>
              <w:rPr>
                <w:rFonts w:hint="eastAsia" w:ascii="黑体" w:hAnsi="黑体" w:eastAsia="黑体" w:cs="黑体"/>
                <w:i w:val="0"/>
                <w:iCs w:val="0"/>
                <w:color w:val="000000"/>
                <w:kern w:val="0"/>
                <w:sz w:val="21"/>
                <w:szCs w:val="21"/>
                <w:u w:val="none"/>
                <w:lang w:val="en-US" w:eastAsia="zh-CN" w:bidi="ar"/>
              </w:rPr>
              <w:t>个</w:t>
            </w:r>
          </w:p>
        </w:tc>
        <w:tc>
          <w:tcPr>
            <w:tcW w:w="455" w:type="pct"/>
            <w:tcBorders>
              <w:top w:val="single" w:color="auto" w:sz="4" w:space="0"/>
              <w:left w:val="single" w:color="auto" w:sz="4" w:space="0"/>
              <w:bottom w:val="single" w:color="auto" w:sz="4" w:space="0"/>
              <w:right w:val="single" w:color="auto" w:sz="4" w:space="0"/>
            </w:tcBorders>
            <w:noWrap w:val="0"/>
            <w:vAlign w:val="center"/>
          </w:tcPr>
          <w:p w14:paraId="2173A938">
            <w:pPr>
              <w:snapToGrid w:val="0"/>
              <w:spacing w:line="240" w:lineRule="auto"/>
              <w:jc w:val="center"/>
              <w:rPr>
                <w:rFonts w:hint="eastAsia" w:ascii="宋体" w:hAnsi="宋体" w:eastAsia="宋体" w:cs="宋体"/>
                <w:color w:val="auto"/>
                <w:kern w:val="0"/>
                <w:sz w:val="21"/>
                <w:szCs w:val="21"/>
                <w:highlight w:val="none"/>
              </w:rPr>
            </w:pPr>
            <w:r>
              <w:rPr>
                <w:rFonts w:hint="eastAsia" w:ascii="黑体" w:hAnsi="黑体" w:eastAsia="黑体" w:cs="黑体"/>
                <w:sz w:val="21"/>
                <w:szCs w:val="21"/>
                <w:lang w:val="en-US" w:eastAsia="zh-CN"/>
              </w:rPr>
              <w:t>50</w:t>
            </w:r>
          </w:p>
        </w:tc>
        <w:tc>
          <w:tcPr>
            <w:tcW w:w="456" w:type="pct"/>
            <w:tcBorders>
              <w:top w:val="single" w:color="auto" w:sz="4" w:space="0"/>
              <w:left w:val="single" w:color="auto" w:sz="4" w:space="0"/>
              <w:bottom w:val="single" w:color="auto" w:sz="4" w:space="0"/>
              <w:right w:val="single" w:color="auto" w:sz="4" w:space="0"/>
            </w:tcBorders>
            <w:noWrap w:val="0"/>
            <w:vAlign w:val="center"/>
          </w:tcPr>
          <w:p w14:paraId="00584490">
            <w:pPr>
              <w:snapToGrid w:val="0"/>
              <w:spacing w:line="240" w:lineRule="auto"/>
              <w:jc w:val="center"/>
              <w:rPr>
                <w:rFonts w:hint="eastAsia" w:ascii="宋体" w:hAnsi="宋体" w:eastAsia="宋体" w:cs="宋体"/>
                <w:color w:val="auto"/>
                <w:kern w:val="0"/>
                <w:sz w:val="21"/>
                <w:szCs w:val="21"/>
                <w:highlight w:val="none"/>
              </w:rPr>
            </w:pPr>
            <w:r>
              <w:rPr>
                <w:rFonts w:hint="eastAsia" w:ascii="黑体" w:hAnsi="黑体" w:eastAsia="黑体" w:cs="黑体"/>
                <w:sz w:val="21"/>
                <w:szCs w:val="21"/>
                <w:lang w:val="en-US" w:eastAsia="zh-CN"/>
              </w:rPr>
              <w:t>490</w:t>
            </w:r>
          </w:p>
        </w:tc>
      </w:tr>
      <w:tr w14:paraId="00512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top"/>
          </w:tcPr>
          <w:p w14:paraId="7E33199E">
            <w:pPr>
              <w:widowControl w:val="0"/>
              <w:numPr>
                <w:ilvl w:val="0"/>
                <w:numId w:val="0"/>
              </w:numPr>
              <w:spacing w:line="240" w:lineRule="auto"/>
              <w:jc w:val="both"/>
              <w:rPr>
                <w:rFonts w:hint="eastAsia" w:ascii="仿宋" w:hAnsi="仿宋" w:eastAsia="仿宋" w:cs="仿宋"/>
                <w:b w:val="0"/>
                <w:bCs/>
                <w:color w:val="auto"/>
                <w:kern w:val="2"/>
                <w:sz w:val="21"/>
                <w:szCs w:val="21"/>
                <w:highlight w:val="none"/>
                <w:lang w:eastAsia="zh-CN"/>
              </w:rPr>
            </w:pPr>
            <w:r>
              <w:rPr>
                <w:rFonts w:hint="eastAsia" w:ascii="宋体" w:hAnsi="宋体" w:eastAsia="宋体" w:cs="宋体"/>
                <w:b/>
                <w:color w:val="auto"/>
                <w:sz w:val="21"/>
                <w:szCs w:val="21"/>
                <w:highlight w:val="none"/>
              </w:rPr>
              <w:t>说明：</w:t>
            </w:r>
          </w:p>
          <w:p w14:paraId="194B1293">
            <w:pPr>
              <w:widowControl w:val="0"/>
              <w:numPr>
                <w:ilvl w:val="0"/>
                <w:numId w:val="0"/>
              </w:numPr>
              <w:spacing w:line="240" w:lineRule="auto"/>
              <w:jc w:val="both"/>
              <w:rPr>
                <w:rFonts w:hint="eastAsia" w:ascii="宋体" w:hAnsi="宋体" w:eastAsia="宋体" w:cs="宋体"/>
                <w:b w:val="0"/>
                <w:bCs/>
                <w:color w:val="000000"/>
                <w:kern w:val="2"/>
                <w:sz w:val="21"/>
                <w:szCs w:val="21"/>
                <w:highlight w:val="none"/>
                <w:lang w:eastAsia="zh-CN"/>
              </w:rPr>
            </w:pPr>
            <w:r>
              <w:rPr>
                <w:rFonts w:hint="eastAsia" w:ascii="宋体" w:hAnsi="宋体" w:eastAsia="宋体" w:cs="宋体"/>
                <w:b w:val="0"/>
                <w:bCs/>
                <w:color w:val="000000"/>
                <w:kern w:val="2"/>
                <w:sz w:val="21"/>
                <w:szCs w:val="21"/>
                <w:highlight w:val="none"/>
              </w:rPr>
              <w:t>1、投标人的投标文件必须标明所供货物的品牌与参数，保证原厂正品供货，提供相关资料等</w:t>
            </w:r>
            <w:r>
              <w:rPr>
                <w:rFonts w:hint="eastAsia" w:ascii="宋体" w:hAnsi="宋体" w:eastAsia="宋体" w:cs="宋体"/>
                <w:b w:val="0"/>
                <w:bCs/>
                <w:color w:val="000000"/>
                <w:kern w:val="2"/>
                <w:sz w:val="21"/>
                <w:szCs w:val="21"/>
                <w:highlight w:val="none"/>
                <w:lang w:eastAsia="zh-CN"/>
              </w:rPr>
              <w:t>，如为进口产品需在备注栏标明进口。</w:t>
            </w:r>
          </w:p>
          <w:p w14:paraId="7055CB5A">
            <w:pPr>
              <w:widowControl w:val="0"/>
              <w:numPr>
                <w:ilvl w:val="0"/>
                <w:numId w:val="0"/>
              </w:numPr>
              <w:spacing w:line="240" w:lineRule="auto"/>
              <w:jc w:val="both"/>
              <w:rPr>
                <w:rFonts w:hint="eastAsia" w:ascii="宋体" w:hAnsi="宋体" w:eastAsia="宋体" w:cs="宋体"/>
                <w:b w:val="0"/>
                <w:bCs/>
                <w:color w:val="000000"/>
                <w:kern w:val="2"/>
                <w:sz w:val="21"/>
                <w:szCs w:val="21"/>
                <w:highlight w:val="none"/>
                <w:lang w:eastAsia="zh-CN"/>
              </w:rPr>
            </w:pPr>
            <w:r>
              <w:rPr>
                <w:rFonts w:hint="eastAsia" w:ascii="宋体" w:hAnsi="宋体" w:eastAsia="宋体" w:cs="宋体"/>
                <w:b w:val="0"/>
                <w:bCs/>
                <w:color w:val="000000"/>
                <w:kern w:val="2"/>
                <w:sz w:val="21"/>
                <w:szCs w:val="21"/>
                <w:highlight w:val="none"/>
              </w:rPr>
              <w:t>2、</w:t>
            </w:r>
            <w:r>
              <w:rPr>
                <w:rFonts w:hint="eastAsia" w:ascii="宋体" w:hAnsi="宋体" w:eastAsia="宋体" w:cs="宋体"/>
                <w:b w:val="0"/>
                <w:bCs/>
                <w:color w:val="000000"/>
                <w:kern w:val="2"/>
                <w:sz w:val="21"/>
                <w:szCs w:val="21"/>
                <w:highlight w:val="none"/>
                <w:lang w:eastAsia="zh-CN"/>
              </w:rPr>
              <w:t>以上技术参数</w:t>
            </w:r>
            <w:r>
              <w:rPr>
                <w:rFonts w:hint="eastAsia" w:ascii="宋体" w:hAnsi="宋体" w:eastAsia="宋体" w:cs="宋体"/>
                <w:b w:val="0"/>
                <w:bCs/>
                <w:color w:val="000000"/>
                <w:kern w:val="2"/>
                <w:sz w:val="21"/>
                <w:szCs w:val="21"/>
                <w:highlight w:val="none"/>
                <w:lang w:val="en-US" w:eastAsia="zh-CN"/>
              </w:rPr>
              <w:t>有</w:t>
            </w:r>
            <w:r>
              <w:rPr>
                <w:rFonts w:hint="eastAsia" w:ascii="宋体" w:hAnsi="宋体" w:eastAsia="宋体" w:cs="宋体"/>
                <w:b w:val="0"/>
                <w:bCs/>
                <w:color w:val="000000"/>
                <w:kern w:val="2"/>
                <w:sz w:val="21"/>
                <w:szCs w:val="21"/>
                <w:highlight w:val="none"/>
              </w:rPr>
              <w:t>★项</w:t>
            </w:r>
            <w:r>
              <w:rPr>
                <w:rFonts w:hint="eastAsia" w:ascii="宋体" w:hAnsi="宋体" w:eastAsia="宋体" w:cs="宋体"/>
                <w:b w:val="0"/>
                <w:bCs/>
                <w:color w:val="000000"/>
                <w:kern w:val="2"/>
                <w:sz w:val="21"/>
                <w:szCs w:val="21"/>
                <w:highlight w:val="none"/>
                <w:lang w:val="en-US" w:eastAsia="zh-CN"/>
              </w:rPr>
              <w:t>还</w:t>
            </w:r>
            <w:r>
              <w:rPr>
                <w:rFonts w:hint="eastAsia" w:ascii="宋体" w:hAnsi="宋体" w:eastAsia="宋体" w:cs="宋体"/>
                <w:b w:val="0"/>
                <w:bCs/>
                <w:color w:val="000000"/>
                <w:kern w:val="2"/>
                <w:sz w:val="21"/>
                <w:szCs w:val="21"/>
                <w:highlight w:val="none"/>
              </w:rPr>
              <w:t>需提供技术证明文件之一（医疗器械注册证、医疗器械注册登记表、第三方检测报告、产品技术白皮书、产品使用说明书）予以证明</w:t>
            </w:r>
            <w:r>
              <w:rPr>
                <w:rFonts w:hint="eastAsia" w:ascii="宋体" w:hAnsi="宋体" w:eastAsia="宋体" w:cs="宋体"/>
                <w:b w:val="0"/>
                <w:bCs/>
                <w:color w:val="000000"/>
                <w:kern w:val="2"/>
                <w:sz w:val="21"/>
                <w:szCs w:val="21"/>
                <w:highlight w:val="none"/>
                <w:lang w:eastAsia="zh-CN"/>
              </w:rPr>
              <w:t>。</w:t>
            </w:r>
          </w:p>
          <w:p w14:paraId="54B49B25">
            <w:pPr>
              <w:widowControl w:val="0"/>
              <w:numPr>
                <w:ilvl w:val="0"/>
                <w:numId w:val="0"/>
              </w:numPr>
              <w:spacing w:line="240" w:lineRule="auto"/>
              <w:jc w:val="both"/>
              <w:rPr>
                <w:rFonts w:hint="eastAsia" w:ascii="宋体" w:hAnsi="宋体" w:eastAsia="宋体" w:cs="宋体"/>
                <w:b w:val="0"/>
                <w:bCs/>
                <w:color w:val="000000"/>
                <w:kern w:val="2"/>
                <w:sz w:val="21"/>
                <w:szCs w:val="21"/>
                <w:highlight w:val="none"/>
                <w:lang w:val="en-US" w:eastAsia="zh-CN"/>
              </w:rPr>
            </w:pPr>
            <w:r>
              <w:rPr>
                <w:rFonts w:hint="eastAsia" w:ascii="宋体" w:hAnsi="宋体" w:eastAsia="宋体" w:cs="宋体"/>
                <w:b w:val="0"/>
                <w:bCs/>
                <w:color w:val="000000"/>
                <w:kern w:val="2"/>
                <w:sz w:val="21"/>
                <w:szCs w:val="21"/>
                <w:highlight w:val="none"/>
                <w:lang w:val="en-US" w:eastAsia="zh-CN"/>
              </w:rPr>
              <w:t>3、属于集采平台目录内的产品,必须满足两票制和安徽省医药集中采购中心平台价格上传有关要求，并在平台配送，如供货价格高于集采平台价格，则按集采平台价格进行供货。</w:t>
            </w:r>
          </w:p>
          <w:p w14:paraId="5B8FAD5B">
            <w:pPr>
              <w:widowControl w:val="0"/>
              <w:numPr>
                <w:ilvl w:val="0"/>
                <w:numId w:val="0"/>
              </w:numPr>
              <w:spacing w:line="240" w:lineRule="auto"/>
              <w:jc w:val="both"/>
              <w:rPr>
                <w:rFonts w:hint="eastAsia" w:ascii="宋体" w:hAnsi="宋体" w:eastAsia="宋体" w:cs="宋体"/>
                <w:b w:val="0"/>
                <w:bCs/>
                <w:color w:val="000000"/>
                <w:kern w:val="2"/>
                <w:sz w:val="21"/>
                <w:szCs w:val="21"/>
                <w:highlight w:val="none"/>
                <w:lang w:val="en-US" w:eastAsia="zh-CN"/>
              </w:rPr>
            </w:pPr>
            <w:r>
              <w:rPr>
                <w:rFonts w:hint="eastAsia" w:ascii="宋体" w:hAnsi="宋体" w:eastAsia="宋体" w:cs="宋体"/>
                <w:b w:val="0"/>
                <w:bCs/>
                <w:color w:val="000000"/>
                <w:kern w:val="2"/>
                <w:sz w:val="21"/>
                <w:szCs w:val="21"/>
                <w:highlight w:val="none"/>
                <w:lang w:val="en-US" w:eastAsia="zh-CN"/>
              </w:rPr>
              <w:t>4、本表中的“数量”为预计三年使用量，仅供投标人报价时参考。</w:t>
            </w:r>
          </w:p>
          <w:p w14:paraId="37CDB23B">
            <w:pPr>
              <w:widowControl w:val="0"/>
              <w:numPr>
                <w:ilvl w:val="0"/>
                <w:numId w:val="0"/>
              </w:numPr>
              <w:spacing w:line="240" w:lineRule="auto"/>
              <w:jc w:val="both"/>
              <w:rPr>
                <w:rFonts w:hint="eastAsia" w:ascii="宋体" w:hAnsi="宋体" w:eastAsia="宋体" w:cs="宋体"/>
                <w:b w:val="0"/>
                <w:bCs/>
                <w:color w:val="000000"/>
                <w:kern w:val="2"/>
                <w:sz w:val="21"/>
                <w:szCs w:val="21"/>
                <w:highlight w:val="none"/>
                <w:lang w:val="en-US" w:eastAsia="zh-CN"/>
              </w:rPr>
            </w:pPr>
            <w:r>
              <w:rPr>
                <w:rFonts w:hint="eastAsia" w:ascii="宋体" w:hAnsi="宋体" w:eastAsia="宋体" w:cs="宋体"/>
                <w:b w:val="0"/>
                <w:bCs/>
                <w:color w:val="000000"/>
                <w:kern w:val="2"/>
                <w:sz w:val="21"/>
                <w:szCs w:val="21"/>
                <w:highlight w:val="none"/>
                <w:lang w:val="en-US" w:eastAsia="zh-CN"/>
              </w:rPr>
              <w:t>5</w:t>
            </w:r>
            <w:r>
              <w:rPr>
                <w:rFonts w:hint="eastAsia" w:ascii="宋体" w:hAnsi="宋体" w:eastAsia="宋体" w:cs="宋体"/>
                <w:b w:val="0"/>
                <w:bCs/>
                <w:color w:val="000000"/>
                <w:kern w:val="2"/>
                <w:sz w:val="21"/>
                <w:szCs w:val="21"/>
                <w:highlight w:val="none"/>
              </w:rPr>
              <w:t>、</w:t>
            </w:r>
            <w:r>
              <w:rPr>
                <w:rFonts w:hint="eastAsia" w:ascii="宋体" w:hAnsi="宋体" w:eastAsia="宋体" w:cs="宋体"/>
                <w:b w:val="0"/>
                <w:bCs/>
                <w:color w:val="000000"/>
                <w:kern w:val="2"/>
                <w:sz w:val="21"/>
                <w:szCs w:val="21"/>
                <w:highlight w:val="none"/>
                <w:lang w:val="en-US" w:eastAsia="zh-CN"/>
              </w:rPr>
              <w:t>供货期</w:t>
            </w:r>
            <w:r>
              <w:rPr>
                <w:rFonts w:hint="eastAsia" w:ascii="宋体" w:hAnsi="宋体" w:eastAsia="宋体" w:cs="宋体"/>
                <w:b w:val="0"/>
                <w:bCs/>
                <w:color w:val="000000"/>
                <w:kern w:val="2"/>
                <w:sz w:val="21"/>
                <w:szCs w:val="21"/>
                <w:highlight w:val="none"/>
              </w:rPr>
              <w:t>自</w:t>
            </w:r>
            <w:r>
              <w:rPr>
                <w:rFonts w:hint="eastAsia" w:ascii="宋体" w:hAnsi="宋体" w:eastAsia="宋体" w:cs="宋体"/>
                <w:b w:val="0"/>
                <w:bCs/>
                <w:color w:val="000000"/>
                <w:kern w:val="2"/>
                <w:sz w:val="21"/>
                <w:szCs w:val="21"/>
                <w:highlight w:val="none"/>
                <w:lang w:val="en-US" w:eastAsia="zh-CN"/>
              </w:rPr>
              <w:t>合同签订之日起三年或采购费用总额达到该本项目总中标价时，以先到者为准，在供货期内按照采购人的要求分批供货，据实结算。</w:t>
            </w:r>
          </w:p>
          <w:p w14:paraId="057B1E5E">
            <w:pPr>
              <w:widowControl w:val="0"/>
              <w:numPr>
                <w:ilvl w:val="0"/>
                <w:numId w:val="0"/>
              </w:numPr>
              <w:spacing w:line="240" w:lineRule="auto"/>
              <w:jc w:val="both"/>
              <w:rPr>
                <w:rFonts w:hint="eastAsia" w:ascii="宋体" w:hAnsi="宋体" w:eastAsia="宋体" w:cs="宋体"/>
                <w:b w:val="0"/>
                <w:bCs/>
                <w:color w:val="000000"/>
                <w:kern w:val="2"/>
                <w:sz w:val="21"/>
                <w:szCs w:val="21"/>
                <w:highlight w:val="none"/>
                <w:lang w:eastAsia="zh-CN"/>
              </w:rPr>
            </w:pPr>
            <w:r>
              <w:rPr>
                <w:rFonts w:hint="eastAsia" w:ascii="宋体" w:hAnsi="宋体" w:eastAsia="宋体" w:cs="宋体"/>
                <w:b w:val="0"/>
                <w:bCs/>
                <w:color w:val="000000"/>
                <w:kern w:val="2"/>
                <w:sz w:val="21"/>
                <w:szCs w:val="21"/>
                <w:highlight w:val="none"/>
                <w:lang w:val="en-US" w:eastAsia="zh-CN"/>
              </w:rPr>
              <w:t>6</w:t>
            </w:r>
            <w:r>
              <w:rPr>
                <w:rFonts w:hint="eastAsia" w:ascii="宋体" w:hAnsi="宋体" w:eastAsia="宋体" w:cs="宋体"/>
                <w:b w:val="0"/>
                <w:bCs/>
                <w:color w:val="000000"/>
                <w:kern w:val="2"/>
                <w:sz w:val="21"/>
                <w:szCs w:val="21"/>
                <w:highlight w:val="none"/>
              </w:rPr>
              <w:t>、必须满足我院耗材精细化管理的要求</w:t>
            </w:r>
            <w:r>
              <w:rPr>
                <w:rFonts w:hint="eastAsia" w:ascii="宋体" w:hAnsi="宋体" w:eastAsia="宋体" w:cs="宋体"/>
                <w:b w:val="0"/>
                <w:bCs/>
                <w:color w:val="000000"/>
                <w:kern w:val="2"/>
                <w:sz w:val="21"/>
                <w:szCs w:val="21"/>
                <w:highlight w:val="none"/>
                <w:lang w:val="en-US" w:eastAsia="zh-CN"/>
              </w:rPr>
              <w:t>(服务费率：供货金额的2%)</w:t>
            </w:r>
            <w:r>
              <w:rPr>
                <w:rFonts w:hint="eastAsia" w:ascii="宋体" w:hAnsi="宋体" w:eastAsia="宋体" w:cs="宋体"/>
                <w:b w:val="0"/>
                <w:bCs/>
                <w:color w:val="000000"/>
                <w:kern w:val="2"/>
                <w:sz w:val="21"/>
                <w:szCs w:val="21"/>
                <w:highlight w:val="none"/>
                <w:lang w:eastAsia="zh-CN"/>
              </w:rPr>
              <w:t>。服务期内如遇国家、省、</w:t>
            </w:r>
            <w:r>
              <w:rPr>
                <w:rFonts w:hint="eastAsia" w:ascii="宋体" w:hAnsi="宋体" w:eastAsia="宋体" w:cs="宋体"/>
                <w:b w:val="0"/>
                <w:bCs/>
                <w:color w:val="000000"/>
                <w:kern w:val="2"/>
                <w:sz w:val="21"/>
                <w:szCs w:val="21"/>
                <w:highlight w:val="none"/>
                <w:lang w:val="en-US" w:eastAsia="zh-CN"/>
              </w:rPr>
              <w:t>市</w:t>
            </w:r>
            <w:r>
              <w:rPr>
                <w:rFonts w:hint="eastAsia" w:ascii="宋体" w:hAnsi="宋体" w:eastAsia="宋体" w:cs="宋体"/>
                <w:b w:val="0"/>
                <w:bCs/>
                <w:color w:val="000000"/>
                <w:kern w:val="2"/>
                <w:sz w:val="21"/>
                <w:szCs w:val="21"/>
                <w:highlight w:val="none"/>
                <w:lang w:eastAsia="zh-CN"/>
              </w:rPr>
              <w:t>医保带量采购等相关政策调整，按国家、省、</w:t>
            </w:r>
            <w:r>
              <w:rPr>
                <w:rFonts w:hint="eastAsia" w:ascii="宋体" w:hAnsi="宋体" w:eastAsia="宋体" w:cs="宋体"/>
                <w:b w:val="0"/>
                <w:bCs/>
                <w:color w:val="000000"/>
                <w:kern w:val="2"/>
                <w:sz w:val="21"/>
                <w:szCs w:val="21"/>
                <w:highlight w:val="none"/>
                <w:lang w:val="en-US" w:eastAsia="zh-CN"/>
              </w:rPr>
              <w:t>市</w:t>
            </w:r>
            <w:r>
              <w:rPr>
                <w:rFonts w:hint="eastAsia" w:ascii="宋体" w:hAnsi="宋体" w:eastAsia="宋体" w:cs="宋体"/>
                <w:b w:val="0"/>
                <w:bCs/>
                <w:color w:val="000000"/>
                <w:kern w:val="2"/>
                <w:sz w:val="21"/>
                <w:szCs w:val="21"/>
                <w:highlight w:val="none"/>
                <w:lang w:eastAsia="zh-CN"/>
              </w:rPr>
              <w:t>医保带量采购等相关政策执行。</w:t>
            </w:r>
          </w:p>
          <w:p w14:paraId="0E8AAB4C">
            <w:pPr>
              <w:widowControl w:val="0"/>
              <w:numPr>
                <w:ilvl w:val="0"/>
                <w:numId w:val="0"/>
              </w:numPr>
              <w:spacing w:line="240" w:lineRule="auto"/>
              <w:jc w:val="both"/>
              <w:rPr>
                <w:rFonts w:hint="default" w:eastAsia="宋体"/>
                <w:color w:val="auto"/>
                <w:highlight w:val="none"/>
                <w:lang w:val="en-US" w:eastAsia="zh-CN"/>
              </w:rPr>
            </w:pPr>
            <w:r>
              <w:rPr>
                <w:rFonts w:hint="eastAsia" w:ascii="宋体" w:hAnsi="宋体" w:eastAsia="宋体" w:cs="宋体"/>
                <w:b w:val="0"/>
                <w:bCs/>
                <w:color w:val="000000"/>
                <w:kern w:val="2"/>
                <w:sz w:val="21"/>
                <w:szCs w:val="21"/>
                <w:highlight w:val="none"/>
                <w:lang w:val="en-US" w:eastAsia="zh-CN"/>
              </w:rPr>
              <w:t>7、合同履行的过程中，如因安徽省医药集中采购中心平台限价降低导致价格低于合同价，乙方须主动将所供产品价格降为平台以下价格。如因主管部门等政府行为需要重新招标时，合同自动终止。</w:t>
            </w:r>
          </w:p>
        </w:tc>
      </w:tr>
      <w:bookmarkEnd w:id="0"/>
      <w:bookmarkEnd w:id="5"/>
      <w:bookmarkEnd w:id="6"/>
    </w:tbl>
    <w:p w14:paraId="4926F84A">
      <w:pPr>
        <w:spacing w:line="360" w:lineRule="auto"/>
        <w:ind w:firstLine="437"/>
        <w:outlineLvl w:val="1"/>
        <w:rPr>
          <w:rFonts w:ascii="宋体" w:hAnsi="宋体" w:eastAsia="宋体"/>
          <w:b/>
          <w:bCs/>
          <w:color w:val="auto"/>
          <w:sz w:val="21"/>
          <w:szCs w:val="21"/>
          <w:highlight w:val="none"/>
        </w:rPr>
      </w:pPr>
      <w:bookmarkStart w:id="7" w:name="_Toc4843"/>
      <w:bookmarkStart w:id="8" w:name="_Toc7421"/>
      <w:r>
        <w:rPr>
          <w:rFonts w:hint="eastAsia" w:ascii="宋体" w:hAnsi="宋体" w:eastAsia="宋体"/>
          <w:b/>
          <w:bCs/>
          <w:color w:val="auto"/>
          <w:sz w:val="21"/>
          <w:szCs w:val="21"/>
          <w:highlight w:val="none"/>
        </w:rPr>
        <w:t>三、</w:t>
      </w:r>
      <w:bookmarkEnd w:id="7"/>
      <w:bookmarkEnd w:id="8"/>
      <w:bookmarkStart w:id="9" w:name="_Toc14698"/>
      <w:bookmarkStart w:id="10" w:name="_Toc15293"/>
      <w:r>
        <w:rPr>
          <w:rFonts w:hint="eastAsia" w:ascii="宋体" w:hAnsi="宋体" w:eastAsia="宋体"/>
          <w:b/>
          <w:bCs/>
          <w:color w:val="auto"/>
          <w:sz w:val="21"/>
          <w:szCs w:val="21"/>
          <w:highlight w:val="none"/>
        </w:rPr>
        <w:t>其他要求</w:t>
      </w:r>
      <w:bookmarkEnd w:id="9"/>
      <w:bookmarkEnd w:id="10"/>
    </w:p>
    <w:p w14:paraId="79AE46EC">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olor w:val="auto"/>
          <w:szCs w:val="21"/>
          <w:highlight w:val="none"/>
        </w:rPr>
      </w:pPr>
      <w:r>
        <w:rPr>
          <w:rFonts w:hint="eastAsia" w:ascii="宋体" w:hAnsi="宋体"/>
          <w:color w:val="auto"/>
          <w:sz w:val="21"/>
          <w:szCs w:val="21"/>
          <w:highlight w:val="none"/>
        </w:rPr>
        <w:t xml:space="preserve"> </w:t>
      </w:r>
      <w:r>
        <w:rPr>
          <w:rFonts w:hint="eastAsia" w:ascii="宋体" w:hAnsi="宋体"/>
          <w:color w:val="auto"/>
          <w:szCs w:val="21"/>
          <w:highlight w:val="none"/>
          <w:lang w:val="en-US" w:eastAsia="zh-CN"/>
        </w:rPr>
        <w:t>1、人员培训要求：</w:t>
      </w:r>
      <w:r>
        <w:rPr>
          <w:rFonts w:hint="eastAsia" w:ascii="宋体" w:hAnsi="宋体"/>
          <w:color w:val="auto"/>
          <w:szCs w:val="21"/>
          <w:highlight w:val="none"/>
        </w:rPr>
        <w:t>货物安装、调试、验收合格后，</w:t>
      </w:r>
      <w:r>
        <w:rPr>
          <w:rFonts w:hint="eastAsia" w:ascii="宋体" w:hAnsi="宋体"/>
          <w:color w:val="auto"/>
          <w:szCs w:val="21"/>
          <w:highlight w:val="none"/>
          <w:lang w:val="en-US" w:eastAsia="zh-CN"/>
        </w:rPr>
        <w:t>中标人</w:t>
      </w:r>
      <w:r>
        <w:rPr>
          <w:rFonts w:hint="eastAsia" w:ascii="宋体" w:hAnsi="宋体"/>
          <w:color w:val="auto"/>
          <w:szCs w:val="21"/>
          <w:highlight w:val="none"/>
        </w:rPr>
        <w:t>应对</w:t>
      </w:r>
      <w:r>
        <w:rPr>
          <w:rFonts w:hint="eastAsia" w:ascii="宋体" w:hAnsi="宋体"/>
          <w:color w:val="auto"/>
          <w:szCs w:val="21"/>
          <w:highlight w:val="none"/>
          <w:lang w:val="en-US" w:eastAsia="zh-CN"/>
        </w:rPr>
        <w:t>招标</w:t>
      </w:r>
      <w:r>
        <w:rPr>
          <w:rFonts w:hint="eastAsia" w:ascii="宋体" w:hAnsi="宋体"/>
          <w:color w:val="auto"/>
          <w:szCs w:val="21"/>
          <w:highlight w:val="none"/>
        </w:rPr>
        <w:t>人的相关人员进行免费现场培训。培训内容包括基本操作、保养维修、常见故障及解决办法等。</w:t>
      </w:r>
    </w:p>
    <w:p w14:paraId="5CB0A145">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、货物质量：中标人提供的货物必须是全新、原装、合格正品，完全符合国家规定的质量标准和厂方的标准。货物完好，配件齐全。</w:t>
      </w:r>
    </w:p>
    <w:p w14:paraId="63FCBD13">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、保修及售后服务：依据商品的保修条款及售后服务条款，提供原厂质保，质保期按照国家规定，且不低于所供</w:t>
      </w:r>
      <w:bookmarkStart w:id="11" w:name="_Toc6897"/>
      <w:bookmarkStart w:id="12" w:name="_Toc10710"/>
      <w:r>
        <w:rPr>
          <w:rFonts w:hint="eastAsia" w:ascii="宋体" w:hAnsi="宋体"/>
          <w:color w:val="auto"/>
          <w:szCs w:val="21"/>
          <w:highlight w:val="none"/>
        </w:rPr>
        <w:t>品牌向用户承诺的质保期限，</w:t>
      </w:r>
      <w:r>
        <w:rPr>
          <w:rFonts w:hint="eastAsia" w:ascii="宋体" w:hAnsi="宋体"/>
          <w:color w:val="auto"/>
          <w:szCs w:val="21"/>
          <w:highlight w:val="none"/>
          <w:lang w:val="en-US" w:eastAsia="zh-CN"/>
        </w:rPr>
        <w:t>招标</w:t>
      </w:r>
      <w:r>
        <w:rPr>
          <w:rFonts w:hint="eastAsia" w:ascii="宋体" w:hAnsi="宋体"/>
          <w:color w:val="auto"/>
          <w:szCs w:val="21"/>
          <w:highlight w:val="none"/>
          <w:lang w:eastAsia="zh-CN"/>
        </w:rPr>
        <w:t>文件</w:t>
      </w:r>
      <w:r>
        <w:rPr>
          <w:rFonts w:hint="eastAsia" w:ascii="宋体" w:hAnsi="宋体"/>
          <w:color w:val="auto"/>
          <w:szCs w:val="21"/>
          <w:highlight w:val="none"/>
        </w:rPr>
        <w:t>另有约定的从其约定。质保期从货物验收合格后算起。</w:t>
      </w:r>
    </w:p>
    <w:p w14:paraId="04635A8D">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b/>
          <w:bCs/>
          <w:color w:val="auto"/>
          <w:sz w:val="21"/>
          <w:szCs w:val="21"/>
          <w:highlight w:val="none"/>
          <w:lang w:val="en-US" w:eastAsia="zh-CN"/>
        </w:rPr>
      </w:pPr>
      <w:r>
        <w:rPr>
          <w:rFonts w:hint="eastAsia" w:ascii="宋体" w:hAnsi="宋体" w:eastAsia="宋体"/>
          <w:b w:val="0"/>
          <w:bCs w:val="0"/>
          <w:color w:val="auto"/>
          <w:sz w:val="21"/>
          <w:szCs w:val="21"/>
          <w:highlight w:val="none"/>
          <w:lang w:val="en-US" w:eastAsia="zh-CN"/>
        </w:rPr>
        <w:t>4、验收：</w:t>
      </w:r>
      <w:r>
        <w:rPr>
          <w:rFonts w:hint="eastAsia" w:ascii="宋体" w:hAnsi="宋体"/>
          <w:color w:val="auto"/>
          <w:sz w:val="21"/>
          <w:szCs w:val="21"/>
          <w:highlight w:val="none"/>
        </w:rPr>
        <w:t>中标人和</w:t>
      </w:r>
      <w:r>
        <w:rPr>
          <w:rFonts w:hint="eastAsia" w:ascii="宋体" w:hAnsi="宋体"/>
          <w:color w:val="auto"/>
          <w:sz w:val="21"/>
          <w:szCs w:val="21"/>
          <w:highlight w:val="none"/>
          <w:lang w:val="en-US" w:eastAsia="zh-CN"/>
        </w:rPr>
        <w:t>招标人</w:t>
      </w:r>
      <w:r>
        <w:rPr>
          <w:rFonts w:hint="eastAsia" w:ascii="宋体" w:hAnsi="宋体"/>
          <w:color w:val="auto"/>
          <w:sz w:val="21"/>
          <w:szCs w:val="21"/>
          <w:highlight w:val="none"/>
        </w:rPr>
        <w:t>双方共同实施验收工作，结果和验收报告经双方确认后生效</w:t>
      </w:r>
      <w:r>
        <w:rPr>
          <w:rFonts w:hint="eastAsia" w:ascii="宋体" w:hAnsi="宋体"/>
          <w:color w:val="auto"/>
          <w:sz w:val="21"/>
          <w:szCs w:val="21"/>
          <w:highlight w:val="none"/>
          <w:lang w:eastAsia="zh-CN"/>
        </w:rPr>
        <w:t>。</w:t>
      </w:r>
    </w:p>
    <w:bookmarkEnd w:id="11"/>
    <w:bookmarkEnd w:id="12"/>
    <w:p w14:paraId="0E85249E">
      <w:bookmarkStart w:id="13" w:name="_GoBack"/>
      <w:bookmarkEnd w:id="1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2A3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after="100"/>
      <w:jc w:val="center"/>
      <w:outlineLvl w:val="0"/>
    </w:pPr>
    <w:rPr>
      <w:b/>
      <w:bCs/>
      <w:kern w:val="44"/>
      <w:sz w:val="32"/>
      <w:szCs w:val="44"/>
    </w:rPr>
  </w:style>
  <w:style w:type="paragraph" w:styleId="3">
    <w:name w:val="heading 3"/>
    <w:basedOn w:val="1"/>
    <w:next w:val="1"/>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Body Text"/>
    <w:basedOn w:val="1"/>
    <w:qFormat/>
    <w:uiPriority w:val="0"/>
    <w:pPr>
      <w:tabs>
        <w:tab w:val="left" w:pos="567"/>
      </w:tabs>
      <w:spacing w:before="120" w:line="22" w:lineRule="atLeast"/>
    </w:pPr>
    <w:rPr>
      <w:rFonts w:ascii="宋体" w:hAnsi="宋体"/>
      <w:sz w:val="24"/>
    </w:rPr>
  </w:style>
  <w:style w:type="paragraph" w:styleId="5">
    <w:name w:val="Plain Text"/>
    <w:basedOn w:val="1"/>
    <w:next w:val="1"/>
    <w:qFormat/>
    <w:uiPriority w:val="0"/>
    <w:rPr>
      <w:rFonts w:ascii="宋体" w:hAnsi="Courier New"/>
      <w:szCs w:val="20"/>
    </w:r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2025-06-12T06:36:18Z</dcterms:created>
  <dc:creator>Administrator</dc:creator>
  <cp:lastModifiedBy>调皮あ小女</cp:lastModifiedBy>
  <dcterms:modified xsi:type="dcterms:W3CDTF">2025-06-12T06:36:25Z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eyJoZGlkIjoiYjczYTgwN2ZhODJjZTI2NGE3MDczZjBmYzdjNjcwODgiLCJ1c2VySWQiOiI5MzU5OTM5MDYifQ==</vt:lpwstr>
  </property>
  <property fmtid="{D5CDD505-2E9C-101B-9397-08002B2CF9AE}" pid="4" name="ICV">
    <vt:lpwstr>FDAEB6D68D064A4992CE1F4FA96C1C16_12</vt:lpwstr>
  </property>
</Properties>
</file>