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5FA0B">
      <w:pPr>
        <w:pStyle w:val="3"/>
        <w:numPr>
          <w:ilvl w:val="0"/>
          <w:numId w:val="0"/>
        </w:numPr>
        <w:ind w:lef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采购需求</w:t>
      </w:r>
    </w:p>
    <w:p w14:paraId="03CC35F0">
      <w:pPr>
        <w:pageBreakBefore w:val="0"/>
        <w:widowControl/>
        <w:kinsoku/>
        <w:overflowPunct/>
        <w:topLinePunct w:val="0"/>
        <w:bidi w:val="0"/>
        <w:snapToGrid/>
        <w:spacing w:line="420" w:lineRule="exact"/>
        <w:ind w:firstLine="430"/>
        <w:jc w:val="left"/>
        <w:textAlignment w:val="auto"/>
        <w:rPr>
          <w:rFonts w:hint="eastAsia" w:ascii="宋体" w:hAnsi="宋体" w:eastAsia="宋体" w:cs="宋体"/>
          <w:b/>
          <w:bCs/>
          <w:color w:val="auto"/>
          <w:sz w:val="21"/>
          <w:szCs w:val="21"/>
          <w:highlight w:val="none"/>
        </w:rPr>
      </w:pPr>
      <w:bookmarkStart w:id="0" w:name="bookmark47"/>
      <w:r>
        <w:rPr>
          <w:rFonts w:hint="eastAsia" w:ascii="宋体" w:hAnsi="宋体" w:eastAsia="宋体" w:cs="宋体"/>
          <w:b/>
          <w:bCs/>
          <w:color w:val="auto"/>
          <w:sz w:val="21"/>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14:paraId="52C6FBDB">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在采购活动开始前没有获准采购进口产品而开展采购活动的，视同为拒绝采购进口产品。</w:t>
      </w:r>
    </w:p>
    <w:p w14:paraId="076333B3">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中标人提供的货物为进口产品的，供货时须向</w:t>
      </w:r>
      <w:r>
        <w:rPr>
          <w:rFonts w:hint="eastAsia" w:ascii="宋体" w:hAnsi="宋体" w:eastAsia="宋体" w:cs="宋体"/>
          <w:b/>
          <w:bCs/>
          <w:color w:val="auto"/>
          <w:sz w:val="21"/>
          <w:szCs w:val="21"/>
          <w:highlight w:val="none"/>
          <w:lang w:eastAsia="zh-CN"/>
        </w:rPr>
        <w:t>招标人</w:t>
      </w:r>
      <w:r>
        <w:rPr>
          <w:rFonts w:hint="eastAsia" w:ascii="宋体" w:hAnsi="宋体" w:eastAsia="宋体" w:cs="宋体"/>
          <w:b/>
          <w:bCs/>
          <w:color w:val="auto"/>
          <w:sz w:val="21"/>
          <w:szCs w:val="21"/>
          <w:highlight w:val="none"/>
        </w:rPr>
        <w:t>提供所投进口产品的海关报关单等证明材料。</w:t>
      </w:r>
    </w:p>
    <w:p w14:paraId="226DCEC4">
      <w:pPr>
        <w:pageBreakBefore w:val="0"/>
        <w:kinsoku/>
        <w:overflowPunct/>
        <w:topLinePunct w:val="0"/>
        <w:bidi w:val="0"/>
        <w:snapToGrid/>
        <w:spacing w:line="42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原装进口的产品，如国内产品满足需求也可参与采购竞争。</w:t>
      </w:r>
    </w:p>
    <w:p w14:paraId="334AA9F4">
      <w:pPr>
        <w:pageBreakBefore w:val="0"/>
        <w:kinsoku/>
        <w:overflowPunct/>
        <w:topLinePunct w:val="0"/>
        <w:bidi w:val="0"/>
        <w:snapToGrid/>
        <w:spacing w:line="420" w:lineRule="exact"/>
        <w:ind w:firstLine="422" w:firstLineChars="200"/>
        <w:textAlignment w:val="auto"/>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一、采购需求前附表</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546"/>
        <w:gridCol w:w="5264"/>
      </w:tblGrid>
      <w:tr w14:paraId="2885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4F67F31B">
            <w:pPr>
              <w:pStyle w:val="5"/>
              <w:pageBreakBefore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94" w:type="pct"/>
            <w:noWrap w:val="0"/>
            <w:vAlign w:val="center"/>
          </w:tcPr>
          <w:p w14:paraId="530D8912">
            <w:pPr>
              <w:pStyle w:val="5"/>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商务条款名称</w:t>
            </w:r>
          </w:p>
        </w:tc>
        <w:tc>
          <w:tcPr>
            <w:tcW w:w="3089" w:type="pct"/>
            <w:noWrap w:val="0"/>
            <w:vAlign w:val="center"/>
          </w:tcPr>
          <w:p w14:paraId="72CAE3B6">
            <w:pPr>
              <w:pStyle w:val="5"/>
              <w:pageBreakBefore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具体要求内容</w:t>
            </w:r>
          </w:p>
        </w:tc>
      </w:tr>
      <w:tr w14:paraId="335A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39918EB8">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94" w:type="pct"/>
            <w:noWrap w:val="0"/>
            <w:vAlign w:val="center"/>
          </w:tcPr>
          <w:p w14:paraId="42B4EFCC">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3089" w:type="pct"/>
            <w:noWrap w:val="0"/>
            <w:vAlign w:val="center"/>
          </w:tcPr>
          <w:p w14:paraId="327ACD07">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使用六个月后付款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中标人出具正规发票。</w:t>
            </w:r>
          </w:p>
        </w:tc>
      </w:tr>
      <w:tr w14:paraId="44AD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75F08C9A">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94" w:type="pct"/>
            <w:noWrap w:val="0"/>
            <w:vAlign w:val="center"/>
          </w:tcPr>
          <w:p w14:paraId="29B1039A">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供货及安装地点</w:t>
            </w:r>
          </w:p>
        </w:tc>
        <w:tc>
          <w:tcPr>
            <w:tcW w:w="3089" w:type="pct"/>
            <w:noWrap w:val="0"/>
            <w:vAlign w:val="center"/>
          </w:tcPr>
          <w:p w14:paraId="1A3E9537">
            <w:pPr>
              <w:pageBreakBefore w:val="0"/>
              <w:kinsoku/>
              <w:overflowPunct/>
              <w:topLinePunct w:val="0"/>
              <w:bidi w:val="0"/>
              <w:snapToGrid/>
              <w:spacing w:line="420" w:lineRule="exact"/>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安庆市第二人民医院</w:t>
            </w:r>
          </w:p>
        </w:tc>
      </w:tr>
      <w:tr w14:paraId="7F4E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37BAECA7">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94" w:type="pct"/>
            <w:noWrap w:val="0"/>
            <w:vAlign w:val="center"/>
          </w:tcPr>
          <w:p w14:paraId="1EB42814">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交货、安装、调试期</w:t>
            </w:r>
          </w:p>
          <w:p w14:paraId="0E4F271E">
            <w:pPr>
              <w:pageBreakBefore w:val="0"/>
              <w:kinsoku/>
              <w:overflowPunct/>
              <w:topLinePunct w:val="0"/>
              <w:bidi w:val="0"/>
              <w:snapToGrid/>
              <w:spacing w:line="420" w:lineRule="exact"/>
              <w:jc w:val="center"/>
              <w:textAlignment w:val="auto"/>
              <w:rPr>
                <w:rFonts w:hint="eastAsia"/>
                <w:color w:val="auto"/>
                <w:highlight w:val="none"/>
              </w:rPr>
            </w:pPr>
            <w:r>
              <w:rPr>
                <w:rFonts w:hint="eastAsia" w:ascii="宋体" w:hAnsi="宋体" w:eastAsia="宋体" w:cs="宋体"/>
                <w:color w:val="auto"/>
                <w:sz w:val="21"/>
                <w:szCs w:val="21"/>
                <w:highlight w:val="none"/>
                <w:lang w:val="en-US" w:eastAsia="zh-CN"/>
              </w:rPr>
              <w:t>（即合同履行期限）</w:t>
            </w:r>
          </w:p>
        </w:tc>
        <w:tc>
          <w:tcPr>
            <w:tcW w:w="3089" w:type="pct"/>
            <w:noWrap w:val="0"/>
            <w:vAlign w:val="center"/>
          </w:tcPr>
          <w:p w14:paraId="6032AF54">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val="en-US" w:eastAsia="zh-CN"/>
              </w:rPr>
              <w:t>合同签订之日起三年或采购费用总额达到该本项目总中标价时，以先到者为准，在供货期内按照采购人的要求分批供货，据实结算。</w:t>
            </w:r>
          </w:p>
        </w:tc>
      </w:tr>
    </w:tbl>
    <w:p w14:paraId="09CE0C8C">
      <w:pPr>
        <w:pStyle w:val="4"/>
        <w:pageBreakBefore w:val="0"/>
        <w:numPr>
          <w:ilvl w:val="0"/>
          <w:numId w:val="0"/>
        </w:numPr>
        <w:kinsoku/>
        <w:overflowPunct/>
        <w:topLinePunct w:val="0"/>
        <w:bidi w:val="0"/>
        <w:snapToGrid/>
        <w:spacing w:line="420" w:lineRule="exact"/>
        <w:ind w:firstLine="422" w:firstLineChars="200"/>
        <w:textAlignment w:val="auto"/>
        <w:rPr>
          <w:rFonts w:hint="eastAsia" w:ascii="宋体" w:hAnsi="宋体" w:eastAsia="宋体" w:cs="宋体"/>
          <w:bCs/>
          <w:color w:val="auto"/>
          <w:sz w:val="21"/>
          <w:szCs w:val="21"/>
          <w:highlight w:val="none"/>
        </w:rPr>
      </w:pPr>
      <w:bookmarkStart w:id="1" w:name="_Toc10379"/>
      <w:bookmarkStart w:id="2" w:name="_Toc20068"/>
      <w:bookmarkStart w:id="3" w:name="_Toc22728"/>
      <w:bookmarkStart w:id="4" w:name="_Toc490682725"/>
      <w:r>
        <w:rPr>
          <w:rFonts w:hint="eastAsia" w:ascii="宋体" w:hAnsi="宋体" w:eastAsia="宋体" w:cs="宋体"/>
          <w:bCs/>
          <w:color w:val="auto"/>
          <w:sz w:val="21"/>
          <w:szCs w:val="21"/>
          <w:highlight w:val="none"/>
          <w:lang w:val="en-US" w:eastAsia="zh-CN"/>
        </w:rPr>
        <w:t>二、货物需求</w:t>
      </w:r>
      <w:bookmarkEnd w:id="1"/>
      <w:bookmarkEnd w:id="2"/>
      <w:bookmarkEnd w:id="3"/>
      <w:bookmarkEnd w:id="4"/>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89"/>
        <w:gridCol w:w="5398"/>
        <w:gridCol w:w="426"/>
        <w:gridCol w:w="729"/>
        <w:gridCol w:w="847"/>
      </w:tblGrid>
      <w:tr w14:paraId="6554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tcBorders>
              <w:top w:val="single" w:color="auto" w:sz="4" w:space="0"/>
              <w:left w:val="single" w:color="auto" w:sz="4" w:space="0"/>
              <w:bottom w:val="single" w:color="auto" w:sz="4" w:space="0"/>
              <w:right w:val="single" w:color="auto" w:sz="4" w:space="0"/>
            </w:tcBorders>
            <w:noWrap w:val="0"/>
            <w:vAlign w:val="center"/>
          </w:tcPr>
          <w:p w14:paraId="1669934E">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bookmarkStart w:id="5" w:name="_Toc4579"/>
            <w:bookmarkStart w:id="6" w:name="_Toc490682726"/>
            <w:r>
              <w:rPr>
                <w:rFonts w:hint="eastAsia" w:ascii="宋体" w:hAnsi="宋体" w:eastAsia="宋体" w:cs="宋体"/>
                <w:color w:val="auto"/>
                <w:kern w:val="0"/>
                <w:sz w:val="21"/>
                <w:szCs w:val="21"/>
                <w:highlight w:val="none"/>
              </w:rPr>
              <w:t>序号</w:t>
            </w:r>
          </w:p>
        </w:tc>
        <w:tc>
          <w:tcPr>
            <w:tcW w:w="430" w:type="pct"/>
            <w:tcBorders>
              <w:top w:val="single" w:color="auto" w:sz="4" w:space="0"/>
              <w:left w:val="single" w:color="auto" w:sz="4" w:space="0"/>
              <w:bottom w:val="single" w:color="auto" w:sz="4" w:space="0"/>
              <w:right w:val="single" w:color="auto" w:sz="4" w:space="0"/>
            </w:tcBorders>
            <w:noWrap w:val="0"/>
            <w:vAlign w:val="center"/>
          </w:tcPr>
          <w:p w14:paraId="3626F086">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货物名称</w:t>
            </w:r>
          </w:p>
        </w:tc>
        <w:tc>
          <w:tcPr>
            <w:tcW w:w="3195" w:type="pct"/>
            <w:tcBorders>
              <w:top w:val="single" w:color="auto" w:sz="4" w:space="0"/>
              <w:left w:val="single" w:color="auto" w:sz="4" w:space="0"/>
              <w:bottom w:val="single" w:color="auto" w:sz="4" w:space="0"/>
              <w:right w:val="single" w:color="auto" w:sz="4" w:space="0"/>
            </w:tcBorders>
            <w:noWrap w:val="0"/>
            <w:vAlign w:val="center"/>
          </w:tcPr>
          <w:p w14:paraId="2787D03B">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技术参数</w:t>
            </w:r>
            <w:r>
              <w:rPr>
                <w:rFonts w:hint="eastAsia" w:ascii="宋体" w:hAnsi="宋体" w:eastAsia="宋体" w:cs="宋体"/>
                <w:color w:val="auto"/>
                <w:kern w:val="0"/>
                <w:sz w:val="21"/>
                <w:szCs w:val="21"/>
                <w:highlight w:val="none"/>
                <w:lang w:val="en-US" w:eastAsia="zh-CN"/>
              </w:rPr>
              <w:t>要求</w:t>
            </w:r>
          </w:p>
        </w:tc>
        <w:tc>
          <w:tcPr>
            <w:tcW w:w="229" w:type="pct"/>
            <w:tcBorders>
              <w:top w:val="single" w:color="auto" w:sz="4" w:space="0"/>
              <w:left w:val="single" w:color="auto" w:sz="4" w:space="0"/>
              <w:bottom w:val="single" w:color="auto" w:sz="4" w:space="0"/>
              <w:right w:val="single" w:color="auto" w:sz="4" w:space="0"/>
            </w:tcBorders>
            <w:noWrap w:val="0"/>
            <w:vAlign w:val="center"/>
          </w:tcPr>
          <w:p w14:paraId="5B6A9318">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0D05E431">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461" w:type="pct"/>
            <w:tcBorders>
              <w:top w:val="single" w:color="auto" w:sz="4" w:space="0"/>
              <w:left w:val="single" w:color="auto" w:sz="4" w:space="0"/>
              <w:bottom w:val="single" w:color="auto" w:sz="4" w:space="0"/>
              <w:right w:val="single" w:color="auto" w:sz="4" w:space="0"/>
            </w:tcBorders>
            <w:noWrap w:val="0"/>
            <w:vAlign w:val="center"/>
          </w:tcPr>
          <w:p w14:paraId="5CE68B67">
            <w:pPr>
              <w:pageBreakBefore w:val="0"/>
              <w:widowControl/>
              <w:kinsoku/>
              <w:overflowPunct/>
              <w:topLinePunct w:val="0"/>
              <w:bidi w:val="0"/>
              <w:snapToGrid/>
              <w:spacing w:line="42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单价上限（元）</w:t>
            </w:r>
          </w:p>
        </w:tc>
      </w:tr>
      <w:tr w14:paraId="59F7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tcBorders>
              <w:top w:val="single" w:color="auto" w:sz="4" w:space="0"/>
              <w:left w:val="single" w:color="auto" w:sz="4" w:space="0"/>
              <w:bottom w:val="single" w:color="auto" w:sz="4" w:space="0"/>
              <w:right w:val="single" w:color="auto" w:sz="4" w:space="0"/>
            </w:tcBorders>
            <w:noWrap w:val="0"/>
            <w:vAlign w:val="center"/>
          </w:tcPr>
          <w:p w14:paraId="1A5FACF9">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30" w:type="pct"/>
            <w:tcBorders>
              <w:top w:val="single" w:color="auto" w:sz="4" w:space="0"/>
              <w:left w:val="single" w:color="auto" w:sz="4" w:space="0"/>
              <w:bottom w:val="single" w:color="auto" w:sz="4" w:space="0"/>
              <w:right w:val="single" w:color="auto" w:sz="4" w:space="0"/>
            </w:tcBorders>
            <w:noWrap w:val="0"/>
            <w:vAlign w:val="center"/>
          </w:tcPr>
          <w:p w14:paraId="7D8F9053">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热磁理疗贴</w:t>
            </w:r>
          </w:p>
        </w:tc>
        <w:tc>
          <w:tcPr>
            <w:tcW w:w="3195" w:type="pct"/>
            <w:tcBorders>
              <w:top w:val="single" w:color="auto" w:sz="4" w:space="0"/>
              <w:left w:val="single" w:color="auto" w:sz="4" w:space="0"/>
              <w:bottom w:val="single" w:color="auto" w:sz="4" w:space="0"/>
              <w:right w:val="single" w:color="auto" w:sz="4" w:space="0"/>
            </w:tcBorders>
            <w:noWrap w:val="0"/>
            <w:vAlign w:val="center"/>
          </w:tcPr>
          <w:p w14:paraId="6ADA6D21">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1、产品分为：颈椎病专用贴和腰间盘突出专用贴。</w:t>
            </w:r>
          </w:p>
          <w:p w14:paraId="5458970E">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2、涂由丙烯酸压敏胶的无纺布胶带，发热体，两面涂有丙烯酸压敏胶的远红外纺织布，稀土永磁及硅油纸制成。</w:t>
            </w:r>
          </w:p>
          <w:p w14:paraId="29D247D4">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★3、颈椎病专用贴：温度≤70℃，磁场强度0.05-0.11特斯拉，升温时间≤10min，持续时间≥6H.温度保证时间大于持续时间的40%，尺寸：80mm×250mm，误差±5mm，磁片直径5mm±1mm。</w:t>
            </w:r>
          </w:p>
          <w:p w14:paraId="7D14AD00">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★4、腰间盘突出专用贴：温度≤70℃，磁场强度0.1-0.14特斯拉，升温时间≤10min，持续时间≥6H.温度保证时间大于持续时间的40%，尺寸：80mm×250mm，误差±5mm，磁片直径5mm±1mm。</w:t>
            </w:r>
          </w:p>
          <w:p w14:paraId="7875CA48">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5、热磁理疗贴应有发射远红外功能，其在8um-18um波段的法向比辐射率不小于0.8。</w:t>
            </w:r>
          </w:p>
          <w:p w14:paraId="22D78DD7">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6、离磁片50mm处，磁场强度不大于0.5mT。</w:t>
            </w:r>
          </w:p>
          <w:p w14:paraId="7FAF3055">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7、剥离强度不低于1.0N/cm，持粘性不低于2.5mm。</w:t>
            </w:r>
          </w:p>
          <w:p w14:paraId="740B3CF4">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8、涂胶层在温度40℃左右放置30min后无残留粘性物质。</w:t>
            </w:r>
          </w:p>
        </w:tc>
        <w:tc>
          <w:tcPr>
            <w:tcW w:w="229" w:type="pct"/>
            <w:tcBorders>
              <w:top w:val="single" w:color="auto" w:sz="4" w:space="0"/>
              <w:left w:val="single" w:color="auto" w:sz="4" w:space="0"/>
              <w:bottom w:val="single" w:color="auto" w:sz="4" w:space="0"/>
              <w:right w:val="single" w:color="auto" w:sz="4" w:space="0"/>
            </w:tcBorders>
            <w:noWrap w:val="0"/>
            <w:vAlign w:val="center"/>
          </w:tcPr>
          <w:p w14:paraId="0C85C32D">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盒</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257A65A3">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6666</w:t>
            </w:r>
          </w:p>
        </w:tc>
        <w:tc>
          <w:tcPr>
            <w:tcW w:w="461" w:type="pct"/>
            <w:tcBorders>
              <w:top w:val="single" w:color="auto" w:sz="4" w:space="0"/>
              <w:left w:val="single" w:color="auto" w:sz="4" w:space="0"/>
              <w:bottom w:val="single" w:color="auto" w:sz="4" w:space="0"/>
              <w:right w:val="single" w:color="auto" w:sz="4" w:space="0"/>
            </w:tcBorders>
            <w:noWrap w:val="0"/>
            <w:vAlign w:val="center"/>
          </w:tcPr>
          <w:p w14:paraId="7EDF910A">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31.50</w:t>
            </w:r>
          </w:p>
        </w:tc>
      </w:tr>
      <w:tr w14:paraId="0299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14:paraId="401A5A6D">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p w14:paraId="4413ADF1">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1、投标人的投标文件必须标明所供货物的品牌与参数，保证原厂正品供货，提供相关资料等，如为进口产品需在备注栏标明进口。</w:t>
            </w:r>
          </w:p>
          <w:p w14:paraId="3169CD70">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2、以上技术参数有★项还需提供技术证明文件之一（医疗器械注册证、医疗器械注册登记表、第三方检测报告、产品技术白皮书、产品使用说明书）予以证明。</w:t>
            </w:r>
          </w:p>
          <w:p w14:paraId="3962B258">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3、属于集采平台目录内的产品,必须满足两票制和安徽省医药集中采购中心平台价格上传有关要求，并在平台配送，如供货价格高于集采平台价格，则按集采平台价格进行供货。</w:t>
            </w:r>
          </w:p>
          <w:p w14:paraId="023D66CF">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4、本表中的“数量”为预计三年使用量，仅供投标人报价时参考。</w:t>
            </w:r>
          </w:p>
          <w:p w14:paraId="49D65EEE">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5、供货期自合同签订之日起三年或采购费用总额达到该本项目总中标价时，以先到者为准，在供货期内按照采购人的要求分批供货，据实结算。</w:t>
            </w:r>
          </w:p>
          <w:p w14:paraId="4F8C8592">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6、必须满足我院耗材精细化管理的要求(服务费率：供货金额的2%)。服务期内如遇国家、省、市医保带量采购等相关政策调整，按国家、省、市医保带量采购等相关政策执行。</w:t>
            </w:r>
          </w:p>
          <w:p w14:paraId="0231A667">
            <w:pPr>
              <w:pageBreakBefore w:val="0"/>
              <w:kinsoku/>
              <w:overflowPunct/>
              <w:topLinePunct w:val="0"/>
              <w:bidi w:val="0"/>
              <w:snapToGrid/>
              <w:spacing w:line="42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7、合同履行的过程中，如因安徽省医药集中采购中心平台限价降低导致价格低于合同价，乙方须主动将所供产品价格降为平台以下价格。如因主管部门等政府行为需要重新招标时，合同自动终止。</w:t>
            </w:r>
          </w:p>
        </w:tc>
      </w:tr>
      <w:bookmarkEnd w:id="0"/>
      <w:bookmarkEnd w:id="5"/>
      <w:bookmarkEnd w:id="6"/>
    </w:tbl>
    <w:p w14:paraId="314F641E">
      <w:pPr>
        <w:spacing w:line="360" w:lineRule="auto"/>
        <w:ind w:firstLine="437"/>
        <w:outlineLvl w:val="1"/>
        <w:rPr>
          <w:rFonts w:ascii="宋体" w:hAnsi="宋体" w:eastAsia="宋体"/>
          <w:b/>
          <w:bCs/>
          <w:color w:val="auto"/>
          <w:sz w:val="21"/>
          <w:szCs w:val="21"/>
          <w:highlight w:val="none"/>
        </w:rPr>
      </w:pPr>
      <w:bookmarkStart w:id="7" w:name="_Toc4843"/>
      <w:bookmarkStart w:id="8" w:name="_Toc7421"/>
      <w:r>
        <w:rPr>
          <w:rFonts w:hint="eastAsia" w:ascii="宋体" w:hAnsi="宋体" w:eastAsia="宋体"/>
          <w:b/>
          <w:bCs/>
          <w:color w:val="auto"/>
          <w:sz w:val="21"/>
          <w:szCs w:val="21"/>
          <w:highlight w:val="none"/>
        </w:rPr>
        <w:t>三、</w:t>
      </w:r>
      <w:bookmarkEnd w:id="7"/>
      <w:bookmarkEnd w:id="8"/>
      <w:bookmarkStart w:id="9" w:name="_Toc14698"/>
      <w:bookmarkStart w:id="10" w:name="_Toc15293"/>
      <w:r>
        <w:rPr>
          <w:rFonts w:hint="eastAsia" w:ascii="宋体" w:hAnsi="宋体" w:eastAsia="宋体"/>
          <w:b/>
          <w:bCs/>
          <w:color w:val="auto"/>
          <w:sz w:val="21"/>
          <w:szCs w:val="21"/>
          <w:highlight w:val="none"/>
        </w:rPr>
        <w:t>其他要求</w:t>
      </w:r>
      <w:bookmarkEnd w:id="9"/>
      <w:bookmarkEnd w:id="10"/>
    </w:p>
    <w:p w14:paraId="1DBA142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olor w:val="auto"/>
          <w:szCs w:val="21"/>
          <w:highlight w:val="none"/>
        </w:rPr>
      </w:pPr>
      <w:r>
        <w:rPr>
          <w:rFonts w:hint="eastAsia" w:ascii="宋体" w:hAnsi="宋体"/>
          <w:color w:val="auto"/>
          <w:sz w:val="21"/>
          <w:szCs w:val="21"/>
          <w:highlight w:val="none"/>
        </w:rPr>
        <w:t xml:space="preserve"> </w:t>
      </w:r>
      <w:r>
        <w:rPr>
          <w:rFonts w:hint="eastAsia" w:ascii="宋体" w:hAnsi="宋体"/>
          <w:color w:val="auto"/>
          <w:szCs w:val="21"/>
          <w:highlight w:val="none"/>
          <w:lang w:val="en-US" w:eastAsia="zh-CN"/>
        </w:rPr>
        <w:t>1、人员培训要求：</w:t>
      </w:r>
      <w:r>
        <w:rPr>
          <w:rFonts w:hint="eastAsia" w:ascii="宋体" w:hAnsi="宋体"/>
          <w:color w:val="auto"/>
          <w:szCs w:val="21"/>
          <w:highlight w:val="none"/>
        </w:rPr>
        <w:t>货物安装、调试、验收合格后，</w:t>
      </w:r>
      <w:r>
        <w:rPr>
          <w:rFonts w:hint="eastAsia" w:ascii="宋体" w:hAnsi="宋体"/>
          <w:color w:val="auto"/>
          <w:szCs w:val="21"/>
          <w:highlight w:val="none"/>
          <w:lang w:val="en-US" w:eastAsia="zh-CN"/>
        </w:rPr>
        <w:t>中标人</w:t>
      </w:r>
      <w:r>
        <w:rPr>
          <w:rFonts w:hint="eastAsia" w:ascii="宋体" w:hAnsi="宋体"/>
          <w:color w:val="auto"/>
          <w:szCs w:val="21"/>
          <w:highlight w:val="none"/>
        </w:rPr>
        <w:t>应对</w:t>
      </w:r>
      <w:r>
        <w:rPr>
          <w:rFonts w:hint="eastAsia" w:ascii="宋体" w:hAnsi="宋体"/>
          <w:color w:val="auto"/>
          <w:szCs w:val="21"/>
          <w:highlight w:val="none"/>
          <w:lang w:val="en-US" w:eastAsia="zh-CN"/>
        </w:rPr>
        <w:t>招标</w:t>
      </w:r>
      <w:r>
        <w:rPr>
          <w:rFonts w:hint="eastAsia" w:ascii="宋体" w:hAnsi="宋体"/>
          <w:color w:val="auto"/>
          <w:szCs w:val="21"/>
          <w:highlight w:val="none"/>
        </w:rPr>
        <w:t>人的相关人员进行免费现场培训。培训内容包括基本操作、保养维修、常见故障及解决办法等。</w:t>
      </w:r>
    </w:p>
    <w:p w14:paraId="07BFCE7A">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、货物质量：中标人提供的货物必须是全新、原装、合格正品，完全符合国家规定的质量标准和厂方的标准。货物完好，配件齐全。</w:t>
      </w:r>
    </w:p>
    <w:p w14:paraId="7104E2DB">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、保修及售后服务：依据商品的保修条款及售后服务条款，提供原厂质保，质保期按照国家规定，且不低于所供</w:t>
      </w:r>
      <w:bookmarkStart w:id="11" w:name="_Toc6897"/>
      <w:bookmarkStart w:id="12" w:name="_Toc10710"/>
      <w:r>
        <w:rPr>
          <w:rFonts w:hint="eastAsia" w:ascii="宋体" w:hAnsi="宋体"/>
          <w:color w:val="auto"/>
          <w:szCs w:val="21"/>
          <w:highlight w:val="none"/>
        </w:rPr>
        <w:t>品牌向用户承诺的质保期限，</w:t>
      </w:r>
      <w:r>
        <w:rPr>
          <w:rFonts w:hint="eastAsia" w:ascii="宋体" w:hAnsi="宋体"/>
          <w:color w:val="auto"/>
          <w:szCs w:val="21"/>
          <w:highlight w:val="none"/>
          <w:lang w:val="en-US" w:eastAsia="zh-CN"/>
        </w:rPr>
        <w:t>招标</w:t>
      </w:r>
      <w:r>
        <w:rPr>
          <w:rFonts w:hint="eastAsia" w:ascii="宋体" w:hAnsi="宋体"/>
          <w:color w:val="auto"/>
          <w:szCs w:val="21"/>
          <w:highlight w:val="none"/>
          <w:lang w:eastAsia="zh-CN"/>
        </w:rPr>
        <w:t>文件</w:t>
      </w:r>
      <w:r>
        <w:rPr>
          <w:rFonts w:hint="eastAsia" w:ascii="宋体" w:hAnsi="宋体"/>
          <w:color w:val="auto"/>
          <w:szCs w:val="21"/>
          <w:highlight w:val="none"/>
        </w:rPr>
        <w:t>另有约定的从其约定。质保期从货物验收合格后算起。</w:t>
      </w:r>
    </w:p>
    <w:p w14:paraId="090DBE00">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b/>
          <w:bCs/>
          <w:color w:val="auto"/>
          <w:sz w:val="21"/>
          <w:szCs w:val="21"/>
          <w:highlight w:val="none"/>
          <w:lang w:val="en-US" w:eastAsia="zh-CN"/>
        </w:rPr>
      </w:pPr>
      <w:r>
        <w:rPr>
          <w:rFonts w:hint="eastAsia" w:ascii="宋体" w:hAnsi="宋体" w:eastAsia="宋体"/>
          <w:b w:val="0"/>
          <w:bCs w:val="0"/>
          <w:color w:val="auto"/>
          <w:sz w:val="21"/>
          <w:szCs w:val="21"/>
          <w:highlight w:val="none"/>
          <w:lang w:val="en-US" w:eastAsia="zh-CN"/>
        </w:rPr>
        <w:t>4、验收：</w:t>
      </w:r>
      <w:r>
        <w:rPr>
          <w:rFonts w:hint="eastAsia" w:ascii="宋体" w:hAnsi="宋体"/>
          <w:color w:val="auto"/>
          <w:sz w:val="21"/>
          <w:szCs w:val="21"/>
          <w:highlight w:val="none"/>
        </w:rPr>
        <w:t>中标人和</w:t>
      </w:r>
      <w:r>
        <w:rPr>
          <w:rFonts w:hint="eastAsia" w:ascii="宋体" w:hAnsi="宋体"/>
          <w:color w:val="auto"/>
          <w:sz w:val="21"/>
          <w:szCs w:val="21"/>
          <w:highlight w:val="none"/>
          <w:lang w:val="en-US" w:eastAsia="zh-CN"/>
        </w:rPr>
        <w:t>招标人</w:t>
      </w:r>
      <w:r>
        <w:rPr>
          <w:rFonts w:hint="eastAsia" w:ascii="宋体" w:hAnsi="宋体"/>
          <w:color w:val="auto"/>
          <w:sz w:val="21"/>
          <w:szCs w:val="21"/>
          <w:highlight w:val="none"/>
        </w:rPr>
        <w:t>双方共同实施验收工作，结果和验收报告经双方确认后生效</w:t>
      </w:r>
      <w:r>
        <w:rPr>
          <w:rFonts w:hint="eastAsia" w:ascii="宋体" w:hAnsi="宋体"/>
          <w:color w:val="auto"/>
          <w:sz w:val="21"/>
          <w:szCs w:val="21"/>
          <w:highlight w:val="none"/>
          <w:lang w:eastAsia="zh-CN"/>
        </w:rPr>
        <w:t>。</w:t>
      </w:r>
    </w:p>
    <w:bookmarkEnd w:id="11"/>
    <w:bookmarkEnd w:id="12"/>
    <w:p w14:paraId="07D4D15B">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B57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left" w:pos="1260"/>
        <w:tab w:val="right" w:leader="dot" w:pos="9060"/>
      </w:tabs>
      <w:spacing w:line="500" w:lineRule="exact"/>
    </w:pPr>
    <w:rPr>
      <w:sz w:val="24"/>
    </w:rPr>
  </w:style>
  <w:style w:type="paragraph" w:styleId="5">
    <w:name w:val="Plain Text"/>
    <w:basedOn w:val="1"/>
    <w:next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2025-06-20T07:22:36Z</dcterms:created>
  <dc:creator>Administrator</dc:creator>
  <cp:lastModifiedBy>调皮あ小女</cp:lastModifiedBy>
  <dcterms:modified xsi:type="dcterms:W3CDTF">2025-06-20T07:22:55Z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eyJoZGlkIjoiYjczYTgwN2ZhODJjZTI2NGE3MDczZjBmYzdjNjcwODgiLCJ1c2VySWQiOiI5MzU5OTM5MDYifQ==</vt:lpwstr>
  </property>
  <property fmtid="{D5CDD505-2E9C-101B-9397-08002B2CF9AE}" pid="4" name="ICV">
    <vt:lpwstr>6C55CA0D7D26481E9FCFE8DB805FE2AA_12</vt:lpwstr>
  </property>
</Properties>
</file>