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C083A">
      <w:pPr>
        <w:pStyle w:val="2"/>
        <w:numPr>
          <w:ilvl w:val="0"/>
          <w:numId w:val="0"/>
        </w:numPr>
        <w:ind w:leftChars="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采购需求</w:t>
      </w:r>
    </w:p>
    <w:p w14:paraId="28386981">
      <w:pPr>
        <w:spacing w:line="360" w:lineRule="auto"/>
        <w:ind w:firstLine="435"/>
        <w:rPr>
          <w:rFonts w:hint="default" w:eastAsia="宋体"/>
          <w:color w:val="auto"/>
          <w:sz w:val="21"/>
          <w:szCs w:val="21"/>
          <w:highlight w:val="none"/>
          <w:lang w:val="en-US" w:eastAsia="zh-CN"/>
        </w:rPr>
      </w:pPr>
      <w:r>
        <w:rPr>
          <w:rFonts w:hint="eastAsia" w:ascii="宋体" w:hAnsi="宋体" w:eastAsia="宋体" w:cs="宋体"/>
          <w:color w:val="auto"/>
          <w:sz w:val="21"/>
          <w:szCs w:val="21"/>
          <w:highlight w:val="none"/>
        </w:rPr>
        <w:t>本采购需求中提出的服务</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仅为参考，如无明确限制，</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可以进行优化，提供满足</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实际需要的更优（或者性能实质上不低于的）服务方案，且此方案须经</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评审认可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若无优化可不另外提供服务方案，评标委员会视为完全响应。</w:t>
      </w:r>
    </w:p>
    <w:p w14:paraId="77FB1B61">
      <w:pPr>
        <w:pageBreakBefore w:val="0"/>
        <w:widowControl w:val="0"/>
        <w:kinsoku/>
        <w:overflowPunct/>
        <w:topLinePunct w:val="0"/>
        <w:bidi w:val="0"/>
        <w:snapToGrid/>
        <w:spacing w:line="42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w:t>
      </w:r>
      <w:r>
        <w:rPr>
          <w:rFonts w:hint="eastAsia" w:ascii="宋体" w:hAnsi="宋体" w:eastAsia="宋体"/>
          <w:b/>
          <w:color w:val="auto"/>
          <w:sz w:val="21"/>
          <w:szCs w:val="21"/>
          <w:highlight w:val="none"/>
        </w:rPr>
        <w:t>采购需求前附表</w:t>
      </w:r>
      <w:r>
        <w:rPr>
          <w:rFonts w:hint="eastAsia" w:ascii="宋体" w:hAnsi="宋体" w:eastAsia="宋体"/>
          <w:b/>
          <w:color w:val="auto"/>
          <w:sz w:val="21"/>
          <w:szCs w:val="21"/>
          <w:highlight w:val="none"/>
          <w:lang w:eastAsia="zh-CN"/>
        </w:rPr>
        <w:t>：</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434"/>
        <w:gridCol w:w="5265"/>
      </w:tblGrid>
      <w:tr w14:paraId="7189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1" w:type="pct"/>
            <w:noWrap w:val="0"/>
            <w:vAlign w:val="center"/>
          </w:tcPr>
          <w:p w14:paraId="717E5626">
            <w:pPr>
              <w:pStyle w:val="3"/>
              <w:pageBreakBefore w:val="0"/>
              <w:widowControl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28" w:type="pct"/>
            <w:noWrap w:val="0"/>
            <w:vAlign w:val="center"/>
          </w:tcPr>
          <w:p w14:paraId="4125DC1C">
            <w:pPr>
              <w:pStyle w:val="3"/>
              <w:pageBreakBefore w:val="0"/>
              <w:widowControl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商务条款名称</w:t>
            </w:r>
          </w:p>
        </w:tc>
        <w:tc>
          <w:tcPr>
            <w:tcW w:w="3089" w:type="pct"/>
            <w:noWrap w:val="0"/>
            <w:vAlign w:val="center"/>
          </w:tcPr>
          <w:p w14:paraId="2021CEE4">
            <w:pPr>
              <w:pStyle w:val="3"/>
              <w:pageBreakBefore w:val="0"/>
              <w:widowControl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具体要求内容</w:t>
            </w:r>
          </w:p>
        </w:tc>
      </w:tr>
      <w:tr w14:paraId="3D19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1" w:type="pct"/>
            <w:noWrap w:val="0"/>
            <w:vAlign w:val="center"/>
          </w:tcPr>
          <w:p w14:paraId="3848CF2C">
            <w:pPr>
              <w:pageBreakBefore w:val="0"/>
              <w:widowControl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28" w:type="pct"/>
            <w:noWrap w:val="0"/>
            <w:vAlign w:val="center"/>
          </w:tcPr>
          <w:p w14:paraId="7605B32C">
            <w:pPr>
              <w:pageBreakBefore w:val="0"/>
              <w:widowControl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089" w:type="pct"/>
            <w:noWrap w:val="0"/>
            <w:vAlign w:val="center"/>
          </w:tcPr>
          <w:p w14:paraId="7D92A8AB">
            <w:pPr>
              <w:pageBreakBefore w:val="0"/>
              <w:widowControl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Times New Roman"/>
                <w:color w:val="auto"/>
                <w:sz w:val="21"/>
                <w:szCs w:val="21"/>
                <w:highlight w:val="none"/>
                <w:lang w:val="en-US" w:eastAsia="zh-CN"/>
              </w:rPr>
              <w:t>提货券发放完毕，一次性支付价款</w:t>
            </w:r>
          </w:p>
        </w:tc>
      </w:tr>
      <w:tr w14:paraId="22C4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1" w:type="pct"/>
            <w:noWrap w:val="0"/>
            <w:vAlign w:val="center"/>
          </w:tcPr>
          <w:p w14:paraId="7282B8C1">
            <w:pPr>
              <w:pageBreakBefore w:val="0"/>
              <w:widowControl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28" w:type="pct"/>
            <w:noWrap w:val="0"/>
            <w:vAlign w:val="center"/>
          </w:tcPr>
          <w:p w14:paraId="2F1AF711">
            <w:pPr>
              <w:pageBreakBefore w:val="0"/>
              <w:widowControl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3089" w:type="pct"/>
            <w:noWrap w:val="0"/>
            <w:vAlign w:val="center"/>
          </w:tcPr>
          <w:p w14:paraId="2676ED14">
            <w:pPr>
              <w:pageBreakBefore w:val="0"/>
              <w:widowControl w:val="0"/>
              <w:kinsoku/>
              <w:overflowPunct/>
              <w:topLinePunct w:val="0"/>
              <w:bidi w:val="0"/>
              <w:snapToGrid/>
              <w:spacing w:line="420" w:lineRule="exact"/>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安庆市第二人民医院</w:t>
            </w:r>
          </w:p>
        </w:tc>
      </w:tr>
      <w:tr w14:paraId="1B33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1" w:type="pct"/>
            <w:noWrap w:val="0"/>
            <w:vAlign w:val="center"/>
          </w:tcPr>
          <w:p w14:paraId="7B6BB6EB">
            <w:pPr>
              <w:pageBreakBefore w:val="0"/>
              <w:widowControl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28" w:type="pct"/>
            <w:noWrap w:val="0"/>
            <w:vAlign w:val="center"/>
          </w:tcPr>
          <w:p w14:paraId="61DE5B2F">
            <w:pPr>
              <w:pageBreakBefore w:val="0"/>
              <w:widowControl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3089" w:type="pct"/>
            <w:noWrap w:val="0"/>
            <w:vAlign w:val="center"/>
          </w:tcPr>
          <w:p w14:paraId="47638A45">
            <w:pPr>
              <w:keepNext w:val="0"/>
              <w:keepLines w:val="0"/>
              <w:pageBreakBefore w:val="0"/>
              <w:widowControl w:val="0"/>
              <w:kinsoku/>
              <w:wordWrap/>
              <w:overflowPunct/>
              <w:topLinePunct w:val="0"/>
              <w:autoSpaceDE/>
              <w:autoSpaceDN/>
              <w:bidi w:val="0"/>
              <w:adjustRightInd w:val="0"/>
              <w:snapToGrid w:val="0"/>
              <w:spacing w:line="420" w:lineRule="atLeas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合同签订后五个工作日内发放完毕</w:t>
            </w:r>
          </w:p>
        </w:tc>
      </w:tr>
    </w:tbl>
    <w:p w14:paraId="07742897">
      <w:pPr>
        <w:numPr>
          <w:ilvl w:val="0"/>
          <w:numId w:val="0"/>
        </w:num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二、服务内容：</w:t>
      </w:r>
    </w:p>
    <w:p w14:paraId="348E230E">
      <w:pPr>
        <w:numPr>
          <w:ilvl w:val="0"/>
          <w:numId w:val="0"/>
        </w:num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庆市第二人民医院职工福利物品（劳保用品）提货券采购内容为中标人为安庆市第二人民医院在职职工提供福利物品（劳保用品）提货券。招标人在职职工总人数约735人，提货券面值为固定值100元/人，结算价为中标人中标单价乘以实际提货券数量结算。要求物品为职工劳保用品及必需的生活用品。提货券有效期大于等于3年（自提供给医院起算）。</w:t>
      </w:r>
    </w:p>
    <w:p w14:paraId="246E3B83">
      <w:pPr>
        <w:numPr>
          <w:ilvl w:val="0"/>
          <w:numId w:val="0"/>
        </w:numPr>
        <w:spacing w:line="360" w:lineRule="auto"/>
        <w:ind w:left="435" w:lef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三、服务要求：</w:t>
      </w:r>
    </w:p>
    <w:p w14:paraId="696BF955">
      <w:pPr>
        <w:numPr>
          <w:ilvl w:val="0"/>
          <w:numId w:val="0"/>
        </w:num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1.中标人需严格遵守《食品安全法》、《食品安全法管理条例》等规定，合法、安全、规范糕点服务管理，运营行为符合食品药品监督管理局要求。 </w:t>
      </w:r>
    </w:p>
    <w:p w14:paraId="60513E58">
      <w:pPr>
        <w:numPr>
          <w:ilvl w:val="0"/>
          <w:numId w:val="0"/>
        </w:num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2.中标人在市内有线下门店，需提供专职热线电话，且提供送货上门服务，安排有至少一名人员专门负责采购人职工咨询、预定、配送等事宜管理的项目管理人员。</w:t>
      </w:r>
    </w:p>
    <w:p w14:paraId="1435CD61">
      <w:pPr>
        <w:numPr>
          <w:ilvl w:val="0"/>
          <w:numId w:val="0"/>
        </w:numPr>
        <w:spacing w:line="360" w:lineRule="auto"/>
        <w:ind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采购人职工</w:t>
      </w:r>
      <w:r>
        <w:rPr>
          <w:rFonts w:hint="eastAsia" w:ascii="宋体" w:hAnsi="宋体" w:eastAsia="宋体" w:cs="宋体"/>
          <w:color w:val="auto"/>
          <w:sz w:val="21"/>
          <w:szCs w:val="21"/>
          <w:highlight w:val="none"/>
          <w:lang w:val="zh-CN" w:eastAsia="zh-CN"/>
        </w:rPr>
        <w:t>凭提货券在</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zh-CN" w:eastAsia="zh-CN"/>
        </w:rPr>
        <w:t>任意一个门店网点可提货。本次采购的提货券,均可享受</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zh-CN" w:eastAsia="zh-CN"/>
        </w:rPr>
        <w:t>所属的连锁门店及线上商城的所有优惠及折扣活动,且</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zh-CN" w:eastAsia="zh-CN"/>
        </w:rPr>
        <w:t>须在提货券上注明此项内容。</w:t>
      </w:r>
    </w:p>
    <w:p w14:paraId="444C90DA">
      <w:pPr>
        <w:numPr>
          <w:ilvl w:val="0"/>
          <w:numId w:val="0"/>
        </w:numPr>
        <w:spacing w:line="360" w:lineRule="auto"/>
        <w:ind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lang w:val="zh-CN" w:eastAsia="zh-CN"/>
        </w:rPr>
        <w:t>人提供的提货券应便于</w:t>
      </w:r>
      <w:r>
        <w:rPr>
          <w:rFonts w:hint="eastAsia" w:ascii="宋体" w:hAnsi="宋体" w:eastAsia="宋体" w:cs="宋体"/>
          <w:color w:val="auto"/>
          <w:sz w:val="21"/>
          <w:szCs w:val="21"/>
          <w:highlight w:val="none"/>
          <w:lang w:val="en-US" w:eastAsia="zh-CN"/>
        </w:rPr>
        <w:t>职工</w:t>
      </w:r>
      <w:r>
        <w:rPr>
          <w:rFonts w:hint="eastAsia" w:ascii="宋体" w:hAnsi="宋体" w:eastAsia="宋体" w:cs="宋体"/>
          <w:color w:val="auto"/>
          <w:sz w:val="21"/>
          <w:szCs w:val="21"/>
          <w:highlight w:val="none"/>
          <w:lang w:val="zh-CN" w:eastAsia="zh-CN"/>
        </w:rPr>
        <w:t>携带仅需一张，不得分散提供，且不得</w:t>
      </w:r>
      <w:r>
        <w:rPr>
          <w:rFonts w:hint="eastAsia" w:ascii="宋体" w:hAnsi="宋体" w:eastAsia="宋体" w:cs="宋体"/>
          <w:color w:val="auto"/>
          <w:sz w:val="21"/>
          <w:szCs w:val="21"/>
          <w:highlight w:val="none"/>
          <w:lang w:val="en-US" w:eastAsia="zh-CN"/>
        </w:rPr>
        <w:t>限制职工</w:t>
      </w:r>
      <w:r>
        <w:rPr>
          <w:rFonts w:hint="eastAsia" w:ascii="宋体" w:hAnsi="宋体" w:eastAsia="宋体" w:cs="宋体"/>
          <w:color w:val="auto"/>
          <w:sz w:val="21"/>
          <w:szCs w:val="21"/>
          <w:highlight w:val="none"/>
          <w:lang w:val="zh-CN" w:eastAsia="zh-CN"/>
        </w:rPr>
        <w:t>提货次数。</w:t>
      </w:r>
    </w:p>
    <w:p w14:paraId="11ACE0D2">
      <w:pPr>
        <w:numPr>
          <w:ilvl w:val="0"/>
          <w:numId w:val="0"/>
        </w:numPr>
        <w:spacing w:line="360" w:lineRule="auto"/>
        <w:ind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若发现</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zh-CN" w:eastAsia="zh-CN"/>
        </w:rPr>
        <w:t>弄虚作假或骗取采购人员工，不严格兑现优惠的，一旦发现采购人有权立即单方面提前解除合同，并可拒绝支付已发生的实际费用。</w:t>
      </w:r>
    </w:p>
    <w:p w14:paraId="7571A04B">
      <w:pPr>
        <w:numPr>
          <w:ilvl w:val="0"/>
          <w:numId w:val="0"/>
        </w:numPr>
        <w:spacing w:line="360" w:lineRule="auto"/>
        <w:ind w:firstLine="420" w:firstLineChars="200"/>
        <w:jc w:val="left"/>
        <w:rPr>
          <w:rFonts w:hint="eastAsia" w:hAnsi="宋体"/>
          <w:b/>
          <w:bCs w:val="0"/>
          <w:color w:val="auto"/>
          <w:szCs w:val="24"/>
          <w:highlight w:val="none"/>
        </w:rPr>
      </w:pPr>
      <w:r>
        <w:rPr>
          <w:rFonts w:hint="eastAsia" w:ascii="宋体" w:hAnsi="宋体" w:eastAsia="宋体" w:cs="宋体"/>
          <w:color w:val="auto"/>
          <w:sz w:val="21"/>
          <w:szCs w:val="21"/>
          <w:highlight w:val="none"/>
          <w:lang w:val="en-US" w:eastAsia="zh-CN"/>
        </w:rPr>
        <w:t>6.中标人</w:t>
      </w:r>
      <w:r>
        <w:rPr>
          <w:rFonts w:hint="eastAsia" w:ascii="宋体" w:hAnsi="宋体" w:eastAsia="宋体" w:cs="宋体"/>
          <w:color w:val="auto"/>
          <w:sz w:val="21"/>
          <w:szCs w:val="21"/>
          <w:highlight w:val="none"/>
          <w:lang w:val="zh-CN" w:eastAsia="zh-CN"/>
        </w:rPr>
        <w:t>自主经营，中标人应严格按照《食品安全法》等相关规章制度执行，做好食品安全及安全生产工作，如采购人员工、员工亲友及第三方人员因食用</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zh-CN" w:eastAsia="zh-CN"/>
        </w:rPr>
        <w:t>产品发生任何食品安全或安全生产事故等，均由</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zh-CN" w:eastAsia="zh-CN"/>
        </w:rPr>
        <w:t>自行负责一切赔偿和法律责任，采购人不承担任何连带责任。如发生大面积食品安全或安全事故问题，对采购人造成不良影响，采购人有权按照相关法律法规追究中标人相关法律责任及索取经济赔偿。</w:t>
      </w:r>
    </w:p>
    <w:p w14:paraId="09B580A2">
      <w:pPr>
        <w:numPr>
          <w:ilvl w:val="0"/>
          <w:numId w:val="0"/>
        </w:numPr>
        <w:spacing w:line="360" w:lineRule="auto"/>
        <w:ind w:left="435" w:leftChars="0"/>
        <w:rPr>
          <w:rFonts w:hint="eastAsia" w:ascii="宋体" w:hAnsi="宋体" w:eastAsia="宋体" w:cs="宋体"/>
          <w:b/>
          <w:bCs/>
          <w:color w:val="auto"/>
          <w:sz w:val="21"/>
          <w:szCs w:val="21"/>
          <w:highlight w:val="none"/>
          <w:lang w:val="zh-CN" w:eastAsia="zh-CN"/>
        </w:rPr>
      </w:pPr>
      <w:bookmarkStart w:id="0" w:name="_Toc21193"/>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zh-CN" w:eastAsia="zh-CN"/>
        </w:rPr>
        <w:t>货物质量及售后服务要求</w:t>
      </w:r>
      <w:bookmarkEnd w:id="0"/>
    </w:p>
    <w:p w14:paraId="161EE82F">
      <w:pPr>
        <w:numPr>
          <w:ilvl w:val="0"/>
          <w:numId w:val="0"/>
        </w:numPr>
        <w:spacing w:line="360" w:lineRule="auto"/>
        <w:ind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 xml:space="preserve"> 1、货物质量：中标人提供的货物必须是全新、原装、合格正品，完全符合国家规定的质量标准和厂方的标准。货物完好，配件齐全。</w:t>
      </w:r>
    </w:p>
    <w:p w14:paraId="607A8DAE">
      <w:pPr>
        <w:numPr>
          <w:ilvl w:val="0"/>
          <w:numId w:val="0"/>
        </w:numPr>
        <w:spacing w:line="360" w:lineRule="auto"/>
        <w:ind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2、保修及售后服务：依据商品的保修条款及售后服务条款，提供原厂质保，质保期按照国家规定，且不低于所供品牌向用户承诺的质保期限。招标文件另有约定的从其约定。质保期从货物验收合格后算起。</w:t>
      </w:r>
    </w:p>
    <w:p w14:paraId="0D04F461">
      <w:pPr>
        <w:numPr>
          <w:ilvl w:val="0"/>
          <w:numId w:val="0"/>
        </w:numPr>
        <w:spacing w:line="360" w:lineRule="auto"/>
        <w:ind w:firstLine="422"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五、验收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中标人和采购人双方共同实施验收工作，结果和验收报告经双方确认后生效</w:t>
      </w:r>
      <w:r>
        <w:rPr>
          <w:rFonts w:hint="eastAsia" w:ascii="宋体" w:hAnsi="宋体" w:eastAsia="宋体" w:cs="宋体"/>
          <w:color w:val="auto"/>
          <w:sz w:val="21"/>
          <w:szCs w:val="21"/>
          <w:highlight w:val="none"/>
          <w:lang w:val="en-US" w:eastAsia="zh-CN"/>
        </w:rPr>
        <w:t>。</w:t>
      </w:r>
    </w:p>
    <w:p w14:paraId="725370F5">
      <w:pPr>
        <w:numPr>
          <w:ilvl w:val="0"/>
          <w:numId w:val="0"/>
        </w:numPr>
        <w:spacing w:line="360" w:lineRule="auto"/>
        <w:ind w:firstLine="420" w:firstLineChars="200"/>
        <w:jc w:val="left"/>
        <w:rPr>
          <w:rFonts w:hint="default" w:ascii="宋体" w:hAnsi="宋体" w:eastAsia="宋体" w:cs="宋体"/>
          <w:color w:val="auto"/>
          <w:sz w:val="21"/>
          <w:szCs w:val="21"/>
          <w:highlight w:val="none"/>
          <w:lang w:val="en-US" w:eastAsia="zh-CN"/>
        </w:rPr>
      </w:pPr>
    </w:p>
    <w:p w14:paraId="2FAF3D48">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654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2025-07-28T03:22:33Z</dcterms:created>
  <dc:creator>Administrator</dc:creator>
  <cp:lastModifiedBy>调皮あ小女</cp:lastModifiedBy>
  <dcterms:modified xsi:type="dcterms:W3CDTF">2025-07-28T03:23:06Z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eyJoZGlkIjoiYjczYTgwN2ZhODJjZTI2NGE3MDczZjBmYzdjNjcwODgiLCJ1c2VySWQiOiI5MzU5OTM5MDYifQ==</vt:lpwstr>
  </property>
  <property fmtid="{D5CDD505-2E9C-101B-9397-08002B2CF9AE}" pid="4" name="ICV">
    <vt:lpwstr>7B9AA71F36724544A9AAB66EC52F2784_12</vt:lpwstr>
  </property>
</Properties>
</file>