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5AE2D">
      <w:pPr>
        <w:pStyle w:val="3"/>
        <w:pageBreakBefore w:val="0"/>
        <w:numPr>
          <w:ilvl w:val="0"/>
          <w:numId w:val="0"/>
        </w:numPr>
        <w:kinsoku/>
        <w:overflowPunct/>
        <w:topLinePunct w:val="0"/>
        <w:bidi w:val="0"/>
        <w:spacing w:beforeLines="0" w:afterLines="0" w:line="420" w:lineRule="exact"/>
        <w:jc w:val="center"/>
        <w:textAlignment w:val="auto"/>
        <w:rPr>
          <w:rFonts w:hint="eastAsia" w:ascii="Arial" w:hAnsi="Arial"/>
          <w:color w:val="auto"/>
          <w:kern w:val="2"/>
          <w:sz w:val="32"/>
          <w:szCs w:val="32"/>
          <w:highlight w:val="none"/>
          <w:lang w:val="en-US" w:eastAsia="zh-CN"/>
        </w:rPr>
      </w:pPr>
      <w:bookmarkStart w:id="5" w:name="_GoBack"/>
      <w:bookmarkEnd w:id="5"/>
      <w:r>
        <w:rPr>
          <w:rFonts w:hint="eastAsia" w:ascii="Arial" w:hAnsi="Arial"/>
          <w:color w:val="auto"/>
          <w:kern w:val="2"/>
          <w:sz w:val="32"/>
          <w:szCs w:val="32"/>
          <w:highlight w:val="none"/>
          <w:lang w:val="en-US" w:eastAsia="zh-CN"/>
        </w:rPr>
        <w:t>采购需求</w:t>
      </w:r>
    </w:p>
    <w:p w14:paraId="0BDD9331">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可以进行优化，提供满足采购人实际需要的更优（或者性能实质上不低于的）服务方案，且此方案须经</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若无优化可不另外提供服务方案，谈判小组视为完全响应。</w:t>
      </w:r>
    </w:p>
    <w:p w14:paraId="639EFA8D">
      <w:pPr>
        <w:pageBreakBefore w:val="0"/>
        <w:kinsoku/>
        <w:overflowPunct/>
        <w:topLinePunct w:val="0"/>
        <w:bidi w:val="0"/>
        <w:adjustRightInd w:val="0"/>
        <w:snapToGrid w:val="0"/>
        <w:spacing w:line="420" w:lineRule="exact"/>
        <w:ind w:firstLine="422" w:firstLineChars="200"/>
        <w:textAlignment w:val="auto"/>
        <w:rPr>
          <w:color w:val="auto"/>
          <w:highlight w:val="none"/>
        </w:rPr>
      </w:pPr>
      <w:r>
        <w:rPr>
          <w:rFonts w:hint="eastAsia" w:ascii="宋体" w:hAnsi="宋体"/>
          <w:b/>
          <w:bCs/>
          <w:color w:val="auto"/>
          <w:szCs w:val="21"/>
          <w:highlight w:val="none"/>
        </w:rPr>
        <w:t>一、</w:t>
      </w:r>
      <w:r>
        <w:rPr>
          <w:rFonts w:hint="eastAsia" w:ascii="宋体" w:hAnsi="宋体" w:eastAsia="宋体"/>
          <w:b/>
          <w:color w:val="auto"/>
          <w:sz w:val="21"/>
          <w:szCs w:val="21"/>
          <w:highlight w:val="none"/>
        </w:rPr>
        <w:t>采购需求前附表</w:t>
      </w:r>
    </w:p>
    <w:tbl>
      <w:tblPr>
        <w:tblStyle w:val="5"/>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6963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14:paraId="0CFE3B34">
            <w:pPr>
              <w:pStyle w:val="4"/>
              <w:pageBreakBefore w:val="0"/>
              <w:kinsoku/>
              <w:overflowPunct/>
              <w:topLinePunct w:val="0"/>
              <w:bidi w:val="0"/>
              <w:spacing w:line="420" w:lineRule="exac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序号</w:t>
            </w:r>
          </w:p>
        </w:tc>
        <w:tc>
          <w:tcPr>
            <w:tcW w:w="2391" w:type="dxa"/>
            <w:noWrap w:val="0"/>
            <w:vAlign w:val="center"/>
          </w:tcPr>
          <w:p w14:paraId="2BAD7132">
            <w:pPr>
              <w:pStyle w:val="4"/>
              <w:pageBreakBefore w:val="0"/>
              <w:kinsoku/>
              <w:overflowPunct/>
              <w:topLinePunct w:val="0"/>
              <w:bidi w:val="0"/>
              <w:spacing w:line="420" w:lineRule="exact"/>
              <w:jc w:val="center"/>
              <w:textAlignment w:val="auto"/>
              <w:rPr>
                <w:color w:val="auto"/>
                <w:sz w:val="21"/>
                <w:szCs w:val="21"/>
                <w:highlight w:val="none"/>
              </w:rPr>
            </w:pPr>
            <w:r>
              <w:rPr>
                <w:rFonts w:hint="eastAsia" w:ascii="宋体" w:hAnsi="宋体"/>
                <w:b/>
                <w:bCs/>
                <w:color w:val="auto"/>
                <w:sz w:val="21"/>
                <w:szCs w:val="21"/>
                <w:highlight w:val="none"/>
              </w:rPr>
              <w:t>条款名称</w:t>
            </w:r>
          </w:p>
        </w:tc>
        <w:tc>
          <w:tcPr>
            <w:tcW w:w="5170" w:type="dxa"/>
            <w:noWrap w:val="0"/>
            <w:vAlign w:val="center"/>
          </w:tcPr>
          <w:p w14:paraId="6DC9666D">
            <w:pPr>
              <w:pStyle w:val="4"/>
              <w:pageBreakBefore w:val="0"/>
              <w:kinsoku/>
              <w:overflowPunct/>
              <w:topLinePunct w:val="0"/>
              <w:bidi w:val="0"/>
              <w:spacing w:line="420" w:lineRule="exac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具体要求内容</w:t>
            </w:r>
          </w:p>
        </w:tc>
      </w:tr>
      <w:tr w14:paraId="76F7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08" w:type="dxa"/>
            <w:noWrap w:val="0"/>
            <w:vAlign w:val="center"/>
          </w:tcPr>
          <w:p w14:paraId="37EDF639">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2391" w:type="dxa"/>
            <w:noWrap w:val="0"/>
            <w:vAlign w:val="center"/>
          </w:tcPr>
          <w:p w14:paraId="30699472">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ascii="宋体" w:hAnsi="宋体" w:eastAsia="宋体"/>
                <w:color w:val="auto"/>
                <w:sz w:val="21"/>
                <w:szCs w:val="21"/>
                <w:highlight w:val="none"/>
              </w:rPr>
              <w:t>付款方式</w:t>
            </w:r>
          </w:p>
        </w:tc>
        <w:tc>
          <w:tcPr>
            <w:tcW w:w="5170" w:type="dxa"/>
            <w:noWrap w:val="0"/>
            <w:vAlign w:val="center"/>
          </w:tcPr>
          <w:p w14:paraId="1A099F04">
            <w:pPr>
              <w:pageBreakBefore w:val="0"/>
              <w:widowControl w:val="0"/>
              <w:kinsoku/>
              <w:overflowPunct/>
              <w:topLinePunct w:val="0"/>
              <w:bidi w:val="0"/>
              <w:snapToGrid/>
              <w:spacing w:line="420" w:lineRule="exact"/>
              <w:jc w:val="center"/>
              <w:textAlignment w:val="auto"/>
              <w:rPr>
                <w:rFonts w:ascii="宋体" w:hAnsi="宋体" w:eastAsia="宋体"/>
                <w:color w:val="auto"/>
                <w:sz w:val="21"/>
                <w:szCs w:val="21"/>
                <w:highlight w:val="none"/>
              </w:rPr>
            </w:pPr>
            <w:r>
              <w:rPr>
                <w:rFonts w:hint="eastAsia" w:ascii="宋体" w:hAnsi="宋体" w:eastAsia="宋体" w:cs="宋体"/>
                <w:sz w:val="21"/>
                <w:szCs w:val="21"/>
                <w:highlight w:val="none"/>
                <w:lang w:val="en-US" w:eastAsia="zh-CN"/>
              </w:rPr>
              <w:t>每月10日前核对上月的实际数量和金额，双方核对确认后，供应商开具发票后五个工作日后付清上月款项。</w:t>
            </w:r>
          </w:p>
        </w:tc>
      </w:tr>
      <w:tr w14:paraId="5002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41B8B3E1">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391" w:type="dxa"/>
            <w:noWrap w:val="0"/>
            <w:vAlign w:val="center"/>
          </w:tcPr>
          <w:p w14:paraId="49C49D63">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地点</w:t>
            </w:r>
          </w:p>
        </w:tc>
        <w:tc>
          <w:tcPr>
            <w:tcW w:w="5170" w:type="dxa"/>
            <w:noWrap w:val="0"/>
            <w:vAlign w:val="center"/>
          </w:tcPr>
          <w:p w14:paraId="342AC196">
            <w:pPr>
              <w:pageBreakBefore w:val="0"/>
              <w:widowControl w:val="0"/>
              <w:kinsoku/>
              <w:overflowPunct/>
              <w:topLinePunct w:val="0"/>
              <w:bidi w:val="0"/>
              <w:snapToGrid/>
              <w:spacing w:line="420" w:lineRule="exact"/>
              <w:jc w:val="center"/>
              <w:textAlignment w:val="auto"/>
              <w:rPr>
                <w:rFonts w:ascii="宋体" w:hAnsi="宋体" w:eastAsia="宋体"/>
                <w:color w:val="auto"/>
                <w:sz w:val="21"/>
                <w:szCs w:val="21"/>
                <w:highlight w:val="none"/>
              </w:rPr>
            </w:pPr>
            <w:r>
              <w:rPr>
                <w:rFonts w:hint="eastAsia" w:ascii="宋体" w:hAnsi="宋体" w:eastAsia="宋体" w:cs="宋体"/>
                <w:sz w:val="21"/>
                <w:szCs w:val="21"/>
                <w:highlight w:val="none"/>
                <w:lang w:val="en-US" w:eastAsia="zh-CN"/>
              </w:rPr>
              <w:t>采购人指定地点</w:t>
            </w:r>
          </w:p>
        </w:tc>
      </w:tr>
      <w:tr w14:paraId="1086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7DB757A5">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2391" w:type="dxa"/>
            <w:noWrap w:val="0"/>
            <w:vAlign w:val="center"/>
          </w:tcPr>
          <w:p w14:paraId="63F171A6">
            <w:pPr>
              <w:pageBreakBefore w:val="0"/>
              <w:kinsoku/>
              <w:overflowPunct/>
              <w:topLinePunct w:val="0"/>
              <w:bidi w:val="0"/>
              <w:spacing w:line="420" w:lineRule="exact"/>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合同履行期限</w:t>
            </w:r>
          </w:p>
          <w:p w14:paraId="597180B7">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（即</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期限</w:t>
            </w:r>
            <w:r>
              <w:rPr>
                <w:rFonts w:hint="eastAsia" w:ascii="宋体" w:hAnsi="宋体"/>
                <w:color w:val="auto"/>
                <w:sz w:val="21"/>
                <w:szCs w:val="21"/>
                <w:highlight w:val="none"/>
                <w:lang w:val="en-US" w:eastAsia="zh-CN"/>
              </w:rPr>
              <w:t>）</w:t>
            </w:r>
          </w:p>
        </w:tc>
        <w:tc>
          <w:tcPr>
            <w:tcW w:w="5170" w:type="dxa"/>
            <w:noWrap w:val="0"/>
            <w:vAlign w:val="center"/>
          </w:tcPr>
          <w:p w14:paraId="2FCEFBCD">
            <w:pPr>
              <w:keepNext w:val="0"/>
              <w:keepLines w:val="0"/>
              <w:pageBreakBefore w:val="0"/>
              <w:widowControl w:val="0"/>
              <w:kinsoku/>
              <w:wordWrap/>
              <w:overflowPunct/>
              <w:topLinePunct w:val="0"/>
              <w:autoSpaceDE/>
              <w:autoSpaceDN/>
              <w:bidi w:val="0"/>
              <w:adjustRightInd w:val="0"/>
              <w:snapToGrid w:val="0"/>
              <w:spacing w:line="380" w:lineRule="exact"/>
              <w:ind w:firstLine="210" w:firstLineChars="100"/>
              <w:textAlignment w:val="auto"/>
              <w:rPr>
                <w:rFonts w:ascii="宋体" w:hAnsi="宋体" w:eastAsia="宋体"/>
                <w:color w:val="auto"/>
                <w:sz w:val="21"/>
                <w:szCs w:val="21"/>
                <w:highlight w:val="none"/>
              </w:rPr>
            </w:pPr>
            <w:r>
              <w:rPr>
                <w:rFonts w:hint="eastAsia" w:ascii="宋体" w:hAnsi="宋体" w:eastAsia="宋体" w:cs="宋体"/>
                <w:sz w:val="21"/>
                <w:szCs w:val="21"/>
                <w:highlight w:val="none"/>
                <w:lang w:val="en-US" w:eastAsia="zh-CN"/>
              </w:rPr>
              <w:t>服务期为合同签订后一年。（服务期满后，根据服务质量、履约情况，经甲方考核合格，可以续签下一年合同，合同一年一签，续签不超过两次，续签合同费率不变。）</w:t>
            </w:r>
          </w:p>
        </w:tc>
      </w:tr>
      <w:tr w14:paraId="696F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2358C227">
            <w:pPr>
              <w:pageBreakBefore w:val="0"/>
              <w:kinsoku/>
              <w:overflowPunct/>
              <w:topLinePunct w:val="0"/>
              <w:bidi w:val="0"/>
              <w:spacing w:line="420" w:lineRule="exact"/>
              <w:jc w:val="center"/>
              <w:textAlignment w:val="auto"/>
              <w:rPr>
                <w:rFonts w:hint="default" w:ascii="宋体" w:hAnsi="宋体" w:eastAsia="宋体"/>
                <w:color w:val="auto"/>
                <w:sz w:val="21"/>
                <w:szCs w:val="21"/>
                <w:highlight w:val="none"/>
                <w:lang w:val="en-US" w:eastAsia="zh-CN"/>
              </w:rPr>
            </w:pPr>
          </w:p>
        </w:tc>
        <w:tc>
          <w:tcPr>
            <w:tcW w:w="2391" w:type="dxa"/>
            <w:noWrap w:val="0"/>
            <w:vAlign w:val="center"/>
          </w:tcPr>
          <w:p w14:paraId="76B8612E">
            <w:pPr>
              <w:pageBreakBefore w:val="0"/>
              <w:kinsoku/>
              <w:overflowPunct/>
              <w:topLinePunct w:val="0"/>
              <w:bidi w:val="0"/>
              <w:spacing w:line="420" w:lineRule="exact"/>
              <w:jc w:val="center"/>
              <w:textAlignment w:val="auto"/>
              <w:rPr>
                <w:rFonts w:hint="default" w:ascii="宋体" w:hAnsi="宋体"/>
                <w:color w:val="auto"/>
                <w:sz w:val="21"/>
                <w:szCs w:val="21"/>
                <w:highlight w:val="none"/>
                <w:lang w:val="en-US" w:eastAsia="zh-CN"/>
              </w:rPr>
            </w:pPr>
            <w:r>
              <w:rPr>
                <w:rFonts w:hint="eastAsia" w:ascii="宋体" w:hAnsi="宋体" w:eastAsia="宋体"/>
                <w:b w:val="0"/>
                <w:color w:val="auto"/>
                <w:sz w:val="21"/>
                <w:szCs w:val="21"/>
                <w:highlight w:val="none"/>
              </w:rPr>
              <w:t>……</w:t>
            </w:r>
          </w:p>
        </w:tc>
        <w:tc>
          <w:tcPr>
            <w:tcW w:w="5170" w:type="dxa"/>
            <w:noWrap w:val="0"/>
            <w:vAlign w:val="center"/>
          </w:tcPr>
          <w:p w14:paraId="7C586C81">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b w:val="0"/>
                <w:color w:val="auto"/>
                <w:sz w:val="21"/>
                <w:szCs w:val="21"/>
                <w:highlight w:val="none"/>
              </w:rPr>
              <w:t>……</w:t>
            </w:r>
          </w:p>
        </w:tc>
      </w:tr>
    </w:tbl>
    <w:p w14:paraId="76D870AF">
      <w:pPr>
        <w:numPr>
          <w:ilvl w:val="0"/>
          <w:numId w:val="0"/>
        </w:numPr>
        <w:spacing w:line="360" w:lineRule="auto"/>
        <w:ind w:firstLine="422" w:firstLineChars="200"/>
        <w:outlineLvl w:val="1"/>
        <w:rPr>
          <w:rFonts w:hint="eastAsia" w:ascii="宋体" w:hAnsi="宋体" w:eastAsia="宋体" w:cs="Times New Roman"/>
          <w:b/>
          <w:color w:val="auto"/>
          <w:sz w:val="21"/>
          <w:szCs w:val="21"/>
          <w:highlight w:val="none"/>
          <w:lang w:val="en-US" w:eastAsia="zh-CN"/>
        </w:rPr>
      </w:pPr>
      <w:bookmarkStart w:id="0" w:name="_Toc12926"/>
      <w:r>
        <w:rPr>
          <w:rFonts w:hint="eastAsia" w:ascii="宋体" w:hAnsi="宋体" w:eastAsia="宋体" w:cs="Times New Roman"/>
          <w:b/>
          <w:color w:val="auto"/>
          <w:sz w:val="21"/>
          <w:szCs w:val="21"/>
          <w:highlight w:val="none"/>
          <w:lang w:val="en-US" w:eastAsia="zh-CN"/>
        </w:rPr>
        <w:t>二、项目概况</w:t>
      </w:r>
      <w:bookmarkEnd w:id="0"/>
    </w:p>
    <w:p w14:paraId="7CFD5EBA">
      <w:pPr>
        <w:pStyle w:val="2"/>
        <w:numPr>
          <w:ilvl w:val="0"/>
          <w:numId w:val="0"/>
        </w:numPr>
        <w:ind w:firstLine="630" w:firstLineChars="3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安庆市二院健康管理有限公司拟采购一名供应商提供茶饮项目的水果配送供服务。</w:t>
      </w:r>
    </w:p>
    <w:p w14:paraId="63B21296">
      <w:pPr>
        <w:numPr>
          <w:ilvl w:val="0"/>
          <w:numId w:val="0"/>
        </w:numPr>
        <w:spacing w:line="360" w:lineRule="auto"/>
        <w:ind w:left="437" w:leftChars="0"/>
        <w:outlineLvl w:val="1"/>
        <w:rPr>
          <w:rFonts w:hint="eastAsia"/>
          <w:color w:val="auto"/>
          <w:sz w:val="21"/>
          <w:szCs w:val="21"/>
          <w:highlight w:val="none"/>
          <w:lang w:val="en-US" w:eastAsia="zh-CN"/>
        </w:rPr>
      </w:pPr>
      <w:bookmarkStart w:id="1" w:name="_Toc27920"/>
      <w:bookmarkStart w:id="2" w:name="_Toc13016"/>
      <w:r>
        <w:rPr>
          <w:rFonts w:hint="eastAsia" w:ascii="宋体" w:hAnsi="宋体" w:eastAsia="宋体"/>
          <w:b/>
          <w:color w:val="auto"/>
          <w:sz w:val="21"/>
          <w:szCs w:val="21"/>
          <w:highlight w:val="none"/>
          <w:lang w:val="en-US" w:eastAsia="zh-CN"/>
        </w:rPr>
        <w:t>三、</w:t>
      </w:r>
      <w:r>
        <w:rPr>
          <w:rFonts w:hint="eastAsia" w:ascii="宋体" w:hAnsi="宋体" w:eastAsia="宋体"/>
          <w:b/>
          <w:color w:val="auto"/>
          <w:sz w:val="21"/>
          <w:szCs w:val="21"/>
          <w:highlight w:val="none"/>
        </w:rPr>
        <w:t>服务需求</w:t>
      </w:r>
      <w:bookmarkEnd w:id="1"/>
      <w:bookmarkEnd w:id="2"/>
    </w:p>
    <w:p w14:paraId="506C0615">
      <w:pPr>
        <w:pStyle w:val="2"/>
        <w:numPr>
          <w:ilvl w:val="0"/>
          <w:numId w:val="0"/>
        </w:numPr>
        <w:ind w:firstLine="422" w:firstLineChars="200"/>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（一）质量要求</w:t>
      </w:r>
    </w:p>
    <w:p w14:paraId="07C5A32B">
      <w:pPr>
        <w:pStyle w:val="2"/>
        <w:numPr>
          <w:ilvl w:val="0"/>
          <w:numId w:val="0"/>
        </w:numPr>
        <w:ind w:firstLine="420" w:firstLineChars="20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rPr>
        <w:t>分类：水果商品大致可分为硬水果、软水果、瓜类。</w:t>
      </w:r>
    </w:p>
    <w:p w14:paraId="139C124B">
      <w:pPr>
        <w:pStyle w:val="2"/>
        <w:numPr>
          <w:ilvl w:val="0"/>
          <w:numId w:val="0"/>
        </w:numPr>
        <w:ind w:firstLine="416" w:firstLineChars="200"/>
        <w:rPr>
          <w:rFonts w:hint="eastAsia" w:ascii="宋体" w:hAnsi="宋体" w:eastAsia="宋体" w:cs="宋体"/>
          <w:color w:val="auto"/>
          <w:sz w:val="21"/>
          <w:szCs w:val="21"/>
          <w:highlight w:val="none"/>
          <w:u w:val="none"/>
        </w:rPr>
      </w:pPr>
      <w:r>
        <w:rPr>
          <w:rFonts w:hint="eastAsia"/>
          <w:spacing w:val="-1"/>
          <w:sz w:val="21"/>
          <w:szCs w:val="21"/>
          <w:highlight w:val="none"/>
          <w:lang w:val="en-US" w:eastAsia="zh-CN"/>
        </w:rPr>
        <w:t>2.</w:t>
      </w:r>
      <w:r>
        <w:rPr>
          <w:spacing w:val="-1"/>
          <w:sz w:val="21"/>
          <w:szCs w:val="21"/>
          <w:highlight w:val="none"/>
        </w:rPr>
        <w:t>符合《中华人民共和国</w:t>
      </w:r>
      <w:r>
        <w:rPr>
          <w:spacing w:val="-9"/>
          <w:sz w:val="21"/>
          <w:szCs w:val="21"/>
          <w:highlight w:val="none"/>
        </w:rPr>
        <w:t>食品安全法》、《食用农产</w:t>
      </w:r>
      <w:r>
        <w:rPr>
          <w:spacing w:val="9"/>
          <w:sz w:val="21"/>
          <w:szCs w:val="21"/>
          <w:highlight w:val="none"/>
        </w:rPr>
        <w:t>品市场销售质量安全监督</w:t>
      </w:r>
      <w:r>
        <w:rPr>
          <w:spacing w:val="10"/>
          <w:sz w:val="21"/>
          <w:szCs w:val="21"/>
          <w:highlight w:val="none"/>
        </w:rPr>
        <w:t>管理办法》等有关法律、法规和政策性文件规定，</w:t>
      </w:r>
      <w:r>
        <w:rPr>
          <w:spacing w:val="9"/>
          <w:sz w:val="21"/>
          <w:szCs w:val="21"/>
          <w:highlight w:val="none"/>
        </w:rPr>
        <w:t>符合相应的标准和技术规范要求以及相关的检验检</w:t>
      </w:r>
      <w:r>
        <w:rPr>
          <w:spacing w:val="-2"/>
          <w:sz w:val="21"/>
          <w:szCs w:val="21"/>
          <w:highlight w:val="none"/>
        </w:rPr>
        <w:t>疫要求等，满足国家卫生、</w:t>
      </w:r>
      <w:r>
        <w:rPr>
          <w:spacing w:val="9"/>
          <w:sz w:val="21"/>
          <w:szCs w:val="21"/>
          <w:highlight w:val="none"/>
        </w:rPr>
        <w:t>食品安全最新标准，</w:t>
      </w:r>
      <w:r>
        <w:rPr>
          <w:rFonts w:hint="eastAsia"/>
          <w:spacing w:val="9"/>
          <w:sz w:val="21"/>
          <w:szCs w:val="21"/>
          <w:highlight w:val="none"/>
          <w:lang w:eastAsia="zh-CN"/>
        </w:rPr>
        <w:t>采购人</w:t>
      </w:r>
      <w:r>
        <w:rPr>
          <w:spacing w:val="-2"/>
          <w:sz w:val="21"/>
          <w:szCs w:val="21"/>
          <w:highlight w:val="none"/>
        </w:rPr>
        <w:t>提出的相关质量、运输、</w:t>
      </w:r>
      <w:r>
        <w:rPr>
          <w:spacing w:val="7"/>
          <w:sz w:val="21"/>
          <w:szCs w:val="21"/>
          <w:highlight w:val="none"/>
        </w:rPr>
        <w:t>包装、时效等要求。</w:t>
      </w:r>
      <w:r>
        <w:rPr>
          <w:rFonts w:hint="eastAsia" w:ascii="宋体" w:hAnsi="宋体" w:eastAsia="宋体" w:cs="宋体"/>
          <w:color w:val="auto"/>
          <w:sz w:val="21"/>
          <w:szCs w:val="21"/>
          <w:highlight w:val="none"/>
          <w:u w:val="none"/>
        </w:rPr>
        <w:t>符合国家食品行业的标准。</w:t>
      </w:r>
    </w:p>
    <w:p w14:paraId="08D1B3E6">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A</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硬水果如苹果、布林、梨等商品，其标准是不能在商品上有虫眼、碰伤、花斑；不 能残留有害化学物；不能有水果传染病毒。</w:t>
      </w:r>
    </w:p>
    <w:p w14:paraId="4B1FA567">
      <w:pPr>
        <w:pStyle w:val="2"/>
        <w:numPr>
          <w:ilvl w:val="0"/>
          <w:numId w:val="0"/>
        </w:numPr>
        <w:ind w:firstLine="420" w:firstLineChars="200"/>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要求果实新鲜，果肉饱满，果体具有一定的坚硬度，具8成熟，具有本品种的正常色泽，带有果粉，个头均匀，无腐烂，无</w:t>
      </w:r>
      <w:r>
        <w:rPr>
          <w:rFonts w:hint="eastAsia" w:ascii="宋体" w:hAnsi="宋体" w:eastAsia="宋体" w:cs="宋体"/>
          <w:color w:val="auto"/>
          <w:sz w:val="21"/>
          <w:szCs w:val="21"/>
          <w:highlight w:val="none"/>
          <w:u w:val="none"/>
          <w:lang w:eastAsia="zh-CN"/>
        </w:rPr>
        <w:t>萎蔫</w:t>
      </w:r>
      <w:r>
        <w:rPr>
          <w:rFonts w:hint="eastAsia" w:ascii="宋体" w:hAnsi="宋体" w:eastAsia="宋体" w:cs="宋体"/>
          <w:color w:val="auto"/>
          <w:sz w:val="21"/>
          <w:szCs w:val="21"/>
          <w:highlight w:val="none"/>
          <w:u w:val="none"/>
        </w:rPr>
        <w:t>，允许轻微碰压，无破损和裂口果。果新鲜发亮</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不能发软，无花皮，不合格品不超过</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且不合格产品包退换。</w:t>
      </w:r>
    </w:p>
    <w:p w14:paraId="71B6FF5F">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B</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软水果如提子、红毛丹、荔枝等商品，其标准是不能有枯烂，不能出水，因商品的特性，很容易出水变质，所以一定要严格控制商品的质量。</w:t>
      </w:r>
    </w:p>
    <w:p w14:paraId="613AF7BC">
      <w:pPr>
        <w:pStyle w:val="2"/>
        <w:numPr>
          <w:ilvl w:val="0"/>
          <w:numId w:val="0"/>
        </w:numPr>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要求具有一定的个头，果形端正，色泽鲜艳，无泥浆、虫咬、压伤、水烂，允许轻微磨 伤，限不破皮，果实饱满，新鲜清洁，无枯烂、出水，无腐烂、虫害和污渍残留，有弹性，水丰富，甜度好无怪味，大小均匀一致，果实到达生理成熟度，无裂果、腐烂，无日灼，无 机械损伤，无病虫害果，果粒大部分保留，抽检时逐个检查，不合格品不得超过</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且不合格产品包退换。</w:t>
      </w:r>
    </w:p>
    <w:p w14:paraId="29119CF9">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C</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瓜类有甜瓜、西瓜、 白兰瓜、网纹瓜、香瓜等，所有商品的标准是：瓜不能太生，如太生，品质就达不到标准，不能有压伤，因瓜的体积较大，很容易被压伤，如压伤后里面的瓜肉就会变色和变味道。</w:t>
      </w:r>
    </w:p>
    <w:p w14:paraId="6BEE51A9">
      <w:pPr>
        <w:pStyle w:val="2"/>
        <w:numPr>
          <w:ilvl w:val="0"/>
          <w:numId w:val="0"/>
        </w:numPr>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要求品质良好，新鲜洁净，无不正常外部潮湿，无异味，发育正常，瓜形端正，瓜蒂处 不能有腐烂，不能烂孔、变色，更不能碰伤、压伤，成熟度要求在 6-8 成之间。硬度好，拍击时有弹性，水分足，甜度高，抽检时逐个检测，不合格品不得超过</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且不合格产品包退换。</w:t>
      </w:r>
    </w:p>
    <w:p w14:paraId="7359E2E6">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水果农药残留量及其它有害元素含量不得超过国家食品安全的有关规定标准并符合国家食品卫生的有关规定及国家食品行业的标准。提交产品质量检测合格报告，所有送质检部门检测费用由供货商承担。</w:t>
      </w:r>
    </w:p>
    <w:p w14:paraId="0817440F">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以上质量和数量等相关方面未达到要求者，应无条件退回和双倍补给，所产生的一切费用由供</w:t>
      </w:r>
      <w:r>
        <w:rPr>
          <w:rFonts w:hint="eastAsia" w:ascii="宋体" w:hAnsi="宋体" w:eastAsia="宋体" w:cs="宋体"/>
          <w:color w:val="auto"/>
          <w:sz w:val="21"/>
          <w:szCs w:val="21"/>
          <w:highlight w:val="none"/>
          <w:u w:val="none"/>
          <w:lang w:val="en-US" w:eastAsia="zh-CN"/>
        </w:rPr>
        <w:t>应</w:t>
      </w:r>
      <w:r>
        <w:rPr>
          <w:rFonts w:hint="eastAsia" w:ascii="宋体" w:hAnsi="宋体" w:eastAsia="宋体" w:cs="宋体"/>
          <w:color w:val="auto"/>
          <w:sz w:val="21"/>
          <w:szCs w:val="21"/>
          <w:highlight w:val="none"/>
          <w:u w:val="none"/>
        </w:rPr>
        <w:t>商自理；若被发现次数达三次，</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有权单方面解除合同。</w:t>
      </w:r>
    </w:p>
    <w:p w14:paraId="06FBBDE9">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应按</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要求供货并提供相关产品质量安全检测报告</w:t>
      </w:r>
      <w:r>
        <w:rPr>
          <w:rFonts w:hint="eastAsia" w:ascii="宋体" w:hAnsi="宋体" w:eastAsia="宋体" w:cs="宋体"/>
          <w:color w:val="auto"/>
          <w:sz w:val="21"/>
          <w:szCs w:val="21"/>
          <w:highlight w:val="none"/>
          <w:u w:val="none"/>
          <w:lang w:val="en-US" w:eastAsia="zh-CN"/>
        </w:rPr>
        <w:t>加盖供应商公章</w:t>
      </w:r>
      <w:r>
        <w:rPr>
          <w:rFonts w:hint="eastAsia" w:ascii="宋体" w:hAnsi="宋体" w:eastAsia="宋体" w:cs="宋体"/>
          <w:color w:val="auto"/>
          <w:sz w:val="21"/>
          <w:szCs w:val="21"/>
          <w:highlight w:val="none"/>
          <w:u w:val="none"/>
        </w:rPr>
        <w:t>，以保证</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对供货产品的质量要求。</w:t>
      </w:r>
    </w:p>
    <w:p w14:paraId="09BE0EEF">
      <w:pPr>
        <w:pStyle w:val="2"/>
        <w:numPr>
          <w:ilvl w:val="0"/>
          <w:numId w:val="0"/>
        </w:numPr>
        <w:ind w:firstLine="422" w:firstLineChars="200"/>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（二）安全要求</w:t>
      </w:r>
    </w:p>
    <w:p w14:paraId="7916A4B7">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必须在规定时间前送货到指定地点且必须提供详细的送货清单，清单上应明确列出产品的名称、数量、单价、规格等，并由甲乙双方人员当场验收。</w:t>
      </w:r>
    </w:p>
    <w:p w14:paraId="69D7AC19">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2.配送人员须自觉遵守交通法规，来回途中发生交通事故意外伤亡等事件的，</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不承担任何法律和民事责任。进入</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区域后，配送人员要自觉遵守</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管理规定，须按照</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指定路线和区域行驶、活动等。不得影响</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的正常工作。由于供应商的过失给</w:t>
      </w: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造成的经济损失，供货商应负赔偿责任。</w:t>
      </w:r>
    </w:p>
    <w:p w14:paraId="6F74E933">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3.对于质量等不符的产品，</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有权要求退货或换货。因供应的产品质量达不到标准而造成的影响</w:t>
      </w:r>
      <w:r>
        <w:rPr>
          <w:rFonts w:hint="eastAsia" w:ascii="宋体" w:hAnsi="宋体" w:eastAsia="宋体" w:cs="宋体"/>
          <w:color w:val="auto"/>
          <w:sz w:val="21"/>
          <w:szCs w:val="21"/>
          <w:highlight w:val="none"/>
          <w:u w:val="none"/>
          <w:lang w:val="en-US" w:eastAsia="zh-CN"/>
        </w:rPr>
        <w:t>茶饮质量</w:t>
      </w:r>
      <w:r>
        <w:rPr>
          <w:rFonts w:hint="eastAsia" w:ascii="宋体" w:hAnsi="宋体" w:eastAsia="宋体" w:cs="宋体"/>
          <w:color w:val="auto"/>
          <w:sz w:val="21"/>
          <w:szCs w:val="21"/>
          <w:highlight w:val="none"/>
          <w:u w:val="none"/>
        </w:rPr>
        <w:t>或其它后果，经</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或卫生部门鉴定为</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责任的，</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须承担全部责任并赔偿</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的一切损失；造成严重后果的，</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有权进行法律追诉。</w:t>
      </w:r>
    </w:p>
    <w:p w14:paraId="38878C8F">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4.因产品质量或服务问题被投诉3次的，且经查属实的，</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有权取消供应商供货资格并终止合同，出现食品安全卫生事故的，将立即终止合同，供应商承担由此产生的一切经济和法律责任。</w:t>
      </w:r>
    </w:p>
    <w:p w14:paraId="6F68AC23">
      <w:pPr>
        <w:pStyle w:val="2"/>
        <w:spacing w:before="221" w:line="228" w:lineRule="auto"/>
        <w:ind w:left="452"/>
        <w:rPr>
          <w:sz w:val="21"/>
          <w:szCs w:val="21"/>
          <w:highlight w:val="none"/>
        </w:rPr>
      </w:pPr>
      <w:r>
        <w:rPr>
          <w:b/>
          <w:bCs/>
          <w:spacing w:val="5"/>
          <w:sz w:val="21"/>
          <w:szCs w:val="21"/>
          <w:highlight w:val="none"/>
        </w:rPr>
        <w:t>（三）数量要求</w:t>
      </w:r>
    </w:p>
    <w:p w14:paraId="12962782">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1.应保证斤、两的准确性，以双方的验收数量为准。</w:t>
      </w:r>
    </w:p>
    <w:p w14:paraId="01FF95CB">
      <w:pPr>
        <w:pStyle w:val="2"/>
        <w:numPr>
          <w:ilvl w:val="0"/>
          <w:numId w:val="0"/>
        </w:numPr>
        <w:ind w:firstLine="420" w:firstLineChars="200"/>
        <w:rPr>
          <w:rFonts w:hint="eastAsia" w:ascii="宋体" w:hAnsi="宋体" w:eastAsia="宋体"/>
          <w:b/>
          <w:color w:val="auto"/>
          <w:sz w:val="21"/>
          <w:szCs w:val="21"/>
          <w:highlight w:val="none"/>
          <w:lang w:val="en-US" w:eastAsia="zh-CN"/>
        </w:rPr>
      </w:pPr>
      <w:r>
        <w:rPr>
          <w:rFonts w:hint="eastAsia" w:ascii="宋体" w:hAnsi="宋体" w:eastAsia="宋体" w:cs="宋体"/>
          <w:color w:val="auto"/>
          <w:sz w:val="21"/>
          <w:szCs w:val="21"/>
          <w:highlight w:val="none"/>
          <w:u w:val="none"/>
        </w:rPr>
        <w:t>2.应保证按时按量按要求送货，不得以各种借口改变供货品种、数量及质量。</w:t>
      </w:r>
    </w:p>
    <w:p w14:paraId="780A6AC5">
      <w:pPr>
        <w:numPr>
          <w:ilvl w:val="0"/>
          <w:numId w:val="0"/>
        </w:numPr>
        <w:spacing w:line="360" w:lineRule="auto"/>
        <w:ind w:left="437" w:leftChars="0"/>
        <w:outlineLvl w:val="1"/>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报价要求</w:t>
      </w:r>
    </w:p>
    <w:p w14:paraId="46CCF92B">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采取综合费率方式报价，所报价格应包含配送、运输、人工、搬运、税金等一切</w:t>
      </w:r>
    </w:p>
    <w:p w14:paraId="4E9C7A2F">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费用，在合同期间中标供应商不得另行收取费用。最终结算费用=实际采购的品种及数量×</w:t>
      </w:r>
      <w:r>
        <w:rPr>
          <w:rFonts w:hint="eastAsia" w:ascii="宋体" w:hAnsi="宋体" w:eastAsia="宋体" w:cs="宋体"/>
          <w:color w:val="auto"/>
          <w:sz w:val="21"/>
          <w:szCs w:val="21"/>
          <w:highlight w:val="none"/>
          <w:u w:val="none"/>
          <w:lang w:val="en-US" w:eastAsia="zh-CN"/>
        </w:rPr>
        <w:t>基准价</w:t>
      </w:r>
      <w:r>
        <w:rPr>
          <w:rFonts w:hint="eastAsia" w:ascii="宋体" w:hAnsi="宋体" w:eastAsia="宋体" w:cs="宋体"/>
          <w:color w:val="auto"/>
          <w:sz w:val="21"/>
          <w:szCs w:val="21"/>
          <w:highlight w:val="none"/>
          <w:u w:val="none"/>
        </w:rPr>
        <w:t>×中标</w:t>
      </w:r>
      <w:r>
        <w:rPr>
          <w:rFonts w:hint="eastAsia" w:ascii="宋体" w:hAnsi="宋体" w:eastAsia="宋体" w:cs="宋体"/>
          <w:color w:val="auto"/>
          <w:sz w:val="21"/>
          <w:szCs w:val="21"/>
          <w:highlight w:val="none"/>
          <w:u w:val="none"/>
          <w:lang w:val="en-US" w:eastAsia="zh-CN"/>
        </w:rPr>
        <w:t>费率</w:t>
      </w:r>
      <w:r>
        <w:rPr>
          <w:rFonts w:hint="eastAsia" w:ascii="宋体" w:hAnsi="宋体" w:eastAsia="宋体" w:cs="宋体"/>
          <w:color w:val="auto"/>
          <w:sz w:val="21"/>
          <w:szCs w:val="21"/>
          <w:highlight w:val="none"/>
          <w:u w:val="none"/>
        </w:rPr>
        <w:t>。</w:t>
      </w:r>
    </w:p>
    <w:p w14:paraId="0BFA2AB9">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2.基准价：</w:t>
      </w:r>
      <w:r>
        <w:rPr>
          <w:rFonts w:hint="eastAsia" w:ascii="宋体" w:hAnsi="宋体" w:eastAsia="宋体" w:cs="宋体"/>
          <w:color w:val="auto"/>
          <w:sz w:val="21"/>
          <w:szCs w:val="21"/>
          <w:highlight w:val="none"/>
          <w:u w:val="none"/>
        </w:rPr>
        <w:t>采购人</w:t>
      </w:r>
      <w:r>
        <w:rPr>
          <w:rFonts w:hint="eastAsia" w:ascii="宋体" w:hAnsi="宋体" w:eastAsia="宋体" w:cs="宋体"/>
          <w:color w:val="auto"/>
          <w:sz w:val="21"/>
          <w:szCs w:val="21"/>
          <w:highlight w:val="none"/>
          <w:u w:val="none"/>
          <w:lang w:val="en-US" w:eastAsia="zh-CN"/>
        </w:rPr>
        <w:t>原则上每7天</w:t>
      </w:r>
      <w:r>
        <w:rPr>
          <w:rFonts w:hint="eastAsia" w:ascii="宋体" w:hAnsi="宋体" w:eastAsia="宋体" w:cs="宋体"/>
          <w:color w:val="auto"/>
          <w:sz w:val="21"/>
          <w:szCs w:val="21"/>
          <w:highlight w:val="none"/>
          <w:u w:val="none"/>
        </w:rPr>
        <w:t>在龙狮桥农贸市场、永丰超市（吾悦广场店）、大润发超市（汇峰广场店）咨询</w:t>
      </w:r>
      <w:r>
        <w:rPr>
          <w:rFonts w:hint="eastAsia" w:ascii="宋体" w:hAnsi="宋体" w:eastAsia="宋体" w:cs="宋体"/>
          <w:color w:val="auto"/>
          <w:sz w:val="21"/>
          <w:szCs w:val="21"/>
          <w:highlight w:val="none"/>
          <w:u w:val="none"/>
          <w:lang w:val="en-US" w:eastAsia="zh-CN"/>
        </w:rPr>
        <w:t>水果</w:t>
      </w:r>
      <w:r>
        <w:rPr>
          <w:rFonts w:hint="eastAsia" w:ascii="宋体" w:hAnsi="宋体" w:eastAsia="宋体" w:cs="宋体"/>
          <w:color w:val="auto"/>
          <w:sz w:val="21"/>
          <w:szCs w:val="21"/>
          <w:highlight w:val="none"/>
          <w:u w:val="none"/>
        </w:rPr>
        <w:t>价格</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再将三处咨询的价格相加取平均值，该平均值为基准价。原则上基准价每7天发布一次，每轮基准价发布期间，采购人</w:t>
      </w:r>
      <w:r>
        <w:rPr>
          <w:rFonts w:hint="eastAsia" w:ascii="宋体" w:hAnsi="宋体" w:eastAsia="宋体" w:cs="宋体"/>
          <w:color w:val="auto"/>
          <w:sz w:val="21"/>
          <w:szCs w:val="21"/>
          <w:highlight w:val="none"/>
          <w:u w:val="none"/>
        </w:rPr>
        <w:t>不考虑价格涨幅因素</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如有不可抗力因素或市场环境影响</w:t>
      </w:r>
      <w:r>
        <w:rPr>
          <w:rFonts w:hint="eastAsia" w:ascii="宋体" w:hAnsi="宋体" w:eastAsia="宋体" w:cs="宋体"/>
          <w:color w:val="auto"/>
          <w:sz w:val="21"/>
          <w:szCs w:val="21"/>
          <w:highlight w:val="none"/>
          <w:u w:val="none"/>
          <w:lang w:eastAsia="zh-CN"/>
        </w:rPr>
        <w:t>，可</w:t>
      </w:r>
      <w:r>
        <w:rPr>
          <w:rFonts w:hint="eastAsia" w:ascii="宋体" w:hAnsi="宋体" w:eastAsia="宋体" w:cs="宋体"/>
          <w:color w:val="auto"/>
          <w:sz w:val="21"/>
          <w:szCs w:val="21"/>
          <w:highlight w:val="none"/>
          <w:u w:val="none"/>
        </w:rPr>
        <w:t>以双方商议提前或者推后。</w:t>
      </w:r>
    </w:p>
    <w:p w14:paraId="50F3A684">
      <w:pPr>
        <w:pStyle w:val="2"/>
        <w:numPr>
          <w:ilvl w:val="0"/>
          <w:numId w:val="0"/>
        </w:numPr>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3.基准价计算示例：如某类水果在</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农贸市场</w:t>
      </w:r>
      <w:r>
        <w:rPr>
          <w:rFonts w:hint="eastAsia" w:ascii="宋体" w:hAnsi="宋体" w:eastAsia="宋体" w:cs="宋体"/>
          <w:color w:val="auto"/>
          <w:sz w:val="21"/>
          <w:szCs w:val="21"/>
          <w:highlight w:val="none"/>
          <w:u w:val="none"/>
        </w:rPr>
        <w:t>”价格为 10 元/斤，“</w:t>
      </w:r>
      <w:r>
        <w:rPr>
          <w:rFonts w:hint="eastAsia" w:ascii="宋体" w:hAnsi="宋体" w:eastAsia="宋体" w:cs="宋体"/>
          <w:color w:val="auto"/>
          <w:sz w:val="21"/>
          <w:szCs w:val="21"/>
          <w:highlight w:val="none"/>
          <w:u w:val="none"/>
          <w:lang w:val="en-US" w:eastAsia="zh-CN"/>
        </w:rPr>
        <w:t>永丰超市</w:t>
      </w:r>
      <w:r>
        <w:rPr>
          <w:rFonts w:hint="eastAsia" w:ascii="宋体" w:hAnsi="宋体" w:eastAsia="宋体" w:cs="宋体"/>
          <w:color w:val="auto"/>
          <w:sz w:val="21"/>
          <w:szCs w:val="21"/>
          <w:highlight w:val="none"/>
          <w:u w:val="none"/>
        </w:rPr>
        <w:t>”价格为 11 元/ 斤，“大润发”价格为 12 元/斤，那么</w:t>
      </w:r>
      <w:r>
        <w:rPr>
          <w:rFonts w:hint="eastAsia" w:ascii="宋体" w:hAnsi="宋体" w:eastAsia="宋体" w:cs="宋体"/>
          <w:color w:val="auto"/>
          <w:sz w:val="21"/>
          <w:szCs w:val="21"/>
          <w:highlight w:val="none"/>
          <w:u w:val="none"/>
          <w:lang w:val="en-US" w:eastAsia="zh-CN"/>
        </w:rPr>
        <w:t>某</w:t>
      </w:r>
      <w:r>
        <w:rPr>
          <w:rFonts w:hint="eastAsia" w:ascii="宋体" w:hAnsi="宋体" w:eastAsia="宋体" w:cs="宋体"/>
          <w:color w:val="auto"/>
          <w:sz w:val="21"/>
          <w:szCs w:val="21"/>
          <w:highlight w:val="none"/>
          <w:u w:val="none"/>
        </w:rPr>
        <w:t>类</w:t>
      </w:r>
      <w:r>
        <w:rPr>
          <w:rFonts w:hint="eastAsia" w:ascii="宋体" w:hAnsi="宋体" w:eastAsia="宋体" w:cs="宋体"/>
          <w:color w:val="auto"/>
          <w:sz w:val="21"/>
          <w:szCs w:val="21"/>
          <w:highlight w:val="none"/>
          <w:u w:val="none"/>
          <w:lang w:val="en-US" w:eastAsia="zh-CN"/>
        </w:rPr>
        <w:t>水果基准价</w:t>
      </w:r>
      <w:r>
        <w:rPr>
          <w:rFonts w:hint="eastAsia" w:ascii="宋体" w:hAnsi="宋体" w:eastAsia="宋体" w:cs="宋体"/>
          <w:color w:val="auto"/>
          <w:sz w:val="21"/>
          <w:szCs w:val="21"/>
          <w:highlight w:val="none"/>
          <w:u w:val="none"/>
        </w:rPr>
        <w:t>为（10+11+12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÷3=11元/斤</w:t>
      </w:r>
    </w:p>
    <w:p w14:paraId="58E57986">
      <w:pPr>
        <w:pStyle w:val="2"/>
        <w:numPr>
          <w:ilvl w:val="0"/>
          <w:numId w:val="0"/>
        </w:numPr>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4.某类水果结算单价计算示例：</w:t>
      </w:r>
      <w:r>
        <w:rPr>
          <w:rFonts w:hint="eastAsia" w:ascii="宋体" w:hAnsi="宋体" w:eastAsia="宋体" w:cs="宋体"/>
          <w:color w:val="auto"/>
          <w:sz w:val="21"/>
          <w:szCs w:val="21"/>
          <w:highlight w:val="none"/>
          <w:u w:val="none"/>
        </w:rPr>
        <w:t>若</w:t>
      </w:r>
      <w:r>
        <w:rPr>
          <w:rFonts w:hint="eastAsia" w:ascii="宋体" w:hAnsi="宋体" w:eastAsia="宋体" w:cs="宋体"/>
          <w:color w:val="auto"/>
          <w:sz w:val="21"/>
          <w:szCs w:val="21"/>
          <w:highlight w:val="none"/>
          <w:u w:val="none"/>
          <w:lang w:val="en-US" w:eastAsia="zh-CN"/>
        </w:rPr>
        <w:t>中标费率</w:t>
      </w:r>
      <w:r>
        <w:rPr>
          <w:rFonts w:hint="eastAsia" w:ascii="宋体" w:hAnsi="宋体" w:eastAsia="宋体" w:cs="宋体"/>
          <w:color w:val="auto"/>
          <w:sz w:val="21"/>
          <w:szCs w:val="21"/>
          <w:highlight w:val="none"/>
          <w:u w:val="none"/>
        </w:rPr>
        <w:t>为</w:t>
      </w:r>
      <w:r>
        <w:rPr>
          <w:rFonts w:hint="eastAsia" w:ascii="宋体" w:hAnsi="宋体" w:eastAsia="宋体" w:cs="宋体"/>
          <w:color w:val="auto"/>
          <w:sz w:val="21"/>
          <w:szCs w:val="21"/>
          <w:highlight w:val="none"/>
          <w:u w:val="none"/>
          <w:lang w:val="en-US" w:eastAsia="zh-CN"/>
        </w:rPr>
        <w:t>90</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某类水果基准价11元/斤，</w:t>
      </w:r>
      <w:r>
        <w:rPr>
          <w:rFonts w:hint="eastAsia" w:ascii="宋体" w:hAnsi="宋体" w:eastAsia="宋体" w:cs="宋体"/>
          <w:color w:val="auto"/>
          <w:sz w:val="21"/>
          <w:szCs w:val="21"/>
          <w:highlight w:val="none"/>
          <w:u w:val="none"/>
        </w:rPr>
        <w:t>那么</w:t>
      </w:r>
      <w:r>
        <w:rPr>
          <w:rFonts w:hint="eastAsia" w:ascii="宋体" w:hAnsi="宋体" w:eastAsia="宋体" w:cs="宋体"/>
          <w:color w:val="auto"/>
          <w:sz w:val="21"/>
          <w:szCs w:val="21"/>
          <w:highlight w:val="none"/>
          <w:u w:val="none"/>
          <w:lang w:val="en-US" w:eastAsia="zh-CN"/>
        </w:rPr>
        <w:t>某</w:t>
      </w:r>
      <w:r>
        <w:rPr>
          <w:rFonts w:hint="eastAsia" w:ascii="宋体" w:hAnsi="宋体" w:eastAsia="宋体" w:cs="宋体"/>
          <w:color w:val="auto"/>
          <w:sz w:val="21"/>
          <w:szCs w:val="21"/>
          <w:highlight w:val="none"/>
          <w:u w:val="none"/>
        </w:rPr>
        <w:t>类</w:t>
      </w:r>
      <w:r>
        <w:rPr>
          <w:rFonts w:hint="eastAsia" w:ascii="宋体" w:hAnsi="宋体" w:eastAsia="宋体" w:cs="宋体"/>
          <w:color w:val="auto"/>
          <w:sz w:val="21"/>
          <w:szCs w:val="21"/>
          <w:highlight w:val="none"/>
          <w:u w:val="none"/>
          <w:lang w:val="en-US" w:eastAsia="zh-CN"/>
        </w:rPr>
        <w:t>水果</w:t>
      </w:r>
      <w:r>
        <w:rPr>
          <w:rFonts w:hint="eastAsia" w:ascii="宋体" w:hAnsi="宋体" w:eastAsia="宋体" w:cs="宋体"/>
          <w:color w:val="auto"/>
          <w:sz w:val="21"/>
          <w:szCs w:val="21"/>
          <w:highlight w:val="none"/>
          <w:u w:val="none"/>
        </w:rPr>
        <w:t>结算价为</w:t>
      </w: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元/斤×</w:t>
      </w:r>
      <w:r>
        <w:rPr>
          <w:rFonts w:hint="eastAsia" w:ascii="宋体" w:hAnsi="宋体" w:eastAsia="宋体" w:cs="宋体"/>
          <w:color w:val="auto"/>
          <w:sz w:val="21"/>
          <w:szCs w:val="21"/>
          <w:highlight w:val="none"/>
          <w:u w:val="none"/>
          <w:lang w:val="en-US" w:eastAsia="zh-CN"/>
        </w:rPr>
        <w:t>90%</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9.9</w:t>
      </w:r>
      <w:r>
        <w:rPr>
          <w:rFonts w:hint="eastAsia" w:ascii="宋体" w:hAnsi="宋体" w:eastAsia="宋体" w:cs="宋体"/>
          <w:color w:val="auto"/>
          <w:sz w:val="21"/>
          <w:szCs w:val="21"/>
          <w:highlight w:val="none"/>
          <w:u w:val="none"/>
        </w:rPr>
        <w:t>元/斤。</w:t>
      </w:r>
    </w:p>
    <w:p w14:paraId="065CA146">
      <w:pPr>
        <w:spacing w:line="360" w:lineRule="auto"/>
        <w:ind w:firstLine="437"/>
        <w:outlineLvl w:val="1"/>
        <w:rPr>
          <w:rFonts w:hint="default" w:eastAsia="宋体"/>
          <w:color w:val="auto"/>
          <w:sz w:val="21"/>
          <w:szCs w:val="21"/>
          <w:highlight w:val="none"/>
          <w:lang w:val="en-US" w:eastAsia="zh-CN"/>
        </w:rPr>
      </w:pPr>
      <w:bookmarkStart w:id="3" w:name="_Toc8283"/>
      <w:bookmarkStart w:id="4" w:name="_Toc18794"/>
      <w:r>
        <w:rPr>
          <w:rFonts w:hint="eastAsia" w:ascii="宋体" w:hAnsi="宋体" w:eastAsia="宋体"/>
          <w:b/>
          <w:color w:val="auto"/>
          <w:sz w:val="21"/>
          <w:szCs w:val="21"/>
          <w:highlight w:val="none"/>
        </w:rPr>
        <w:t>五、其他要求</w:t>
      </w:r>
      <w:bookmarkEnd w:id="3"/>
      <w:bookmarkEnd w:id="4"/>
    </w:p>
    <w:p w14:paraId="253613F7">
      <w:pPr>
        <w:pStyle w:val="9"/>
        <w:keepNext w:val="0"/>
        <w:keepLines w:val="0"/>
        <w:pageBreakBefore w:val="0"/>
        <w:widowControl w:val="0"/>
        <w:kinsoku/>
        <w:wordWrap/>
        <w:overflowPunct/>
        <w:topLinePunct w:val="0"/>
        <w:autoSpaceDE/>
        <w:autoSpaceDN/>
        <w:bidi w:val="0"/>
        <w:adjustRightInd w:val="0"/>
        <w:snapToGrid w:val="0"/>
        <w:spacing w:before="65" w:line="20" w:lineRule="atLeast"/>
        <w:ind w:right="151" w:firstLine="420" w:firstLineChars="200"/>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1.按天采购时，数量按照每天</w:t>
      </w:r>
      <w:r>
        <w:rPr>
          <w:rFonts w:hint="eastAsia" w:cs="Times New Roman"/>
          <w:color w:val="auto"/>
          <w:kern w:val="0"/>
          <w:sz w:val="21"/>
          <w:szCs w:val="21"/>
          <w:highlight w:val="none"/>
          <w:lang w:val="en-US" w:eastAsia="zh-CN" w:bidi="ar-SA"/>
        </w:rPr>
        <w:t>采购人</w:t>
      </w:r>
      <w:r>
        <w:rPr>
          <w:rFonts w:hint="eastAsia" w:ascii="宋体" w:hAnsi="宋体" w:eastAsia="宋体" w:cs="Times New Roman"/>
          <w:color w:val="auto"/>
          <w:kern w:val="0"/>
          <w:sz w:val="21"/>
          <w:szCs w:val="21"/>
          <w:highlight w:val="none"/>
          <w:lang w:val="en-US" w:eastAsia="zh-CN" w:bidi="ar-SA"/>
        </w:rPr>
        <w:t>提供的报货单为准；</w:t>
      </w:r>
    </w:p>
    <w:p w14:paraId="1401F1A8">
      <w:pPr>
        <w:pStyle w:val="9"/>
        <w:keepNext w:val="0"/>
        <w:keepLines w:val="0"/>
        <w:pageBreakBefore w:val="0"/>
        <w:widowControl w:val="0"/>
        <w:kinsoku/>
        <w:wordWrap/>
        <w:overflowPunct/>
        <w:topLinePunct w:val="0"/>
        <w:autoSpaceDE/>
        <w:autoSpaceDN/>
        <w:bidi w:val="0"/>
        <w:adjustRightInd w:val="0"/>
        <w:snapToGrid w:val="0"/>
        <w:spacing w:before="65" w:line="20" w:lineRule="atLeast"/>
        <w:ind w:right="151" w:firstLine="420" w:firstLineChars="200"/>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2.按批采购时，数量以</w:t>
      </w:r>
      <w:r>
        <w:rPr>
          <w:rFonts w:hint="eastAsia" w:cs="Times New Roman"/>
          <w:color w:val="auto"/>
          <w:kern w:val="0"/>
          <w:sz w:val="21"/>
          <w:szCs w:val="21"/>
          <w:highlight w:val="none"/>
          <w:lang w:val="en-US" w:eastAsia="zh-CN" w:bidi="ar-SA"/>
        </w:rPr>
        <w:t>采购人</w:t>
      </w:r>
      <w:r>
        <w:rPr>
          <w:rFonts w:hint="eastAsia" w:ascii="宋体" w:hAnsi="宋体" w:eastAsia="宋体" w:cs="Times New Roman"/>
          <w:color w:val="auto"/>
          <w:kern w:val="0"/>
          <w:sz w:val="21"/>
          <w:szCs w:val="21"/>
          <w:highlight w:val="none"/>
          <w:lang w:val="en-US" w:eastAsia="zh-CN" w:bidi="ar-SA"/>
        </w:rPr>
        <w:t>提供的每批报货单为准；</w:t>
      </w:r>
    </w:p>
    <w:p w14:paraId="2E950FC4">
      <w:pPr>
        <w:pStyle w:val="9"/>
        <w:keepNext w:val="0"/>
        <w:keepLines w:val="0"/>
        <w:pageBreakBefore w:val="0"/>
        <w:widowControl w:val="0"/>
        <w:kinsoku/>
        <w:wordWrap/>
        <w:overflowPunct/>
        <w:topLinePunct w:val="0"/>
        <w:autoSpaceDE/>
        <w:autoSpaceDN/>
        <w:bidi w:val="0"/>
        <w:adjustRightInd w:val="0"/>
        <w:snapToGrid w:val="0"/>
        <w:spacing w:before="65" w:line="20" w:lineRule="atLeast"/>
        <w:ind w:right="151" w:firstLine="420" w:firstLineChars="200"/>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3.验收：</w:t>
      </w:r>
      <w:r>
        <w:rPr>
          <w:rFonts w:hint="eastAsia" w:cs="Times New Roman"/>
          <w:color w:val="auto"/>
          <w:kern w:val="0"/>
          <w:sz w:val="21"/>
          <w:szCs w:val="21"/>
          <w:highlight w:val="none"/>
          <w:lang w:val="en-US" w:eastAsia="zh-CN" w:bidi="ar-SA"/>
        </w:rPr>
        <w:t>成交人</w:t>
      </w:r>
      <w:r>
        <w:rPr>
          <w:rFonts w:hint="eastAsia" w:ascii="宋体" w:hAnsi="宋体" w:eastAsia="宋体" w:cs="Times New Roman"/>
          <w:color w:val="auto"/>
          <w:kern w:val="0"/>
          <w:sz w:val="21"/>
          <w:szCs w:val="21"/>
          <w:highlight w:val="none"/>
          <w:lang w:val="en-US" w:eastAsia="zh-CN" w:bidi="ar-SA"/>
        </w:rPr>
        <w:t>和</w:t>
      </w:r>
      <w:r>
        <w:rPr>
          <w:rFonts w:hint="eastAsia" w:cs="Times New Roman"/>
          <w:color w:val="auto"/>
          <w:kern w:val="0"/>
          <w:sz w:val="21"/>
          <w:szCs w:val="21"/>
          <w:highlight w:val="none"/>
          <w:lang w:val="en-US" w:eastAsia="zh-CN" w:bidi="ar-SA"/>
        </w:rPr>
        <w:t>采购人</w:t>
      </w:r>
      <w:r>
        <w:rPr>
          <w:rFonts w:hint="eastAsia" w:ascii="宋体" w:hAnsi="宋体" w:eastAsia="宋体" w:cs="Times New Roman"/>
          <w:color w:val="auto"/>
          <w:kern w:val="0"/>
          <w:sz w:val="21"/>
          <w:szCs w:val="21"/>
          <w:highlight w:val="none"/>
          <w:lang w:val="en-US" w:eastAsia="zh-CN" w:bidi="ar-SA"/>
        </w:rPr>
        <w:t>双方共同实施验收工作，结果和验收报告经双方确认后生效。</w:t>
      </w:r>
    </w:p>
    <w:p w14:paraId="0C938E07">
      <w:pPr>
        <w:spacing w:before="42" w:line="222" w:lineRule="auto"/>
        <w:ind w:left="2832"/>
        <w:rPr>
          <w:rFonts w:hint="eastAsia" w:ascii="宋体" w:hAnsi="宋体" w:eastAsia="宋体" w:cs="宋体"/>
          <w:b/>
          <w:bCs/>
          <w:spacing w:val="7"/>
          <w:sz w:val="20"/>
          <w:szCs w:val="20"/>
        </w:rPr>
      </w:pPr>
    </w:p>
    <w:p w14:paraId="4FE1EB5B">
      <w:pPr>
        <w:spacing w:before="42" w:line="222" w:lineRule="auto"/>
        <w:rPr>
          <w:rFonts w:hint="eastAsia" w:ascii="宋体" w:hAnsi="宋体" w:eastAsia="宋体" w:cs="宋体"/>
          <w:b/>
          <w:bCs/>
          <w:spacing w:val="7"/>
          <w:sz w:val="20"/>
          <w:szCs w:val="20"/>
          <w:lang w:val="en-US" w:eastAsia="zh-CN"/>
        </w:rPr>
      </w:pPr>
      <w:r>
        <w:rPr>
          <w:rFonts w:hint="eastAsia" w:ascii="宋体" w:hAnsi="宋体" w:eastAsia="宋体" w:cs="宋体"/>
          <w:b/>
          <w:bCs/>
          <w:spacing w:val="7"/>
          <w:sz w:val="20"/>
          <w:szCs w:val="20"/>
          <w:lang w:val="en-US" w:eastAsia="zh-CN"/>
        </w:rPr>
        <w:t>附件：</w:t>
      </w:r>
    </w:p>
    <w:p w14:paraId="207559E8">
      <w:pPr>
        <w:spacing w:before="42" w:line="222" w:lineRule="auto"/>
        <w:ind w:left="2832"/>
        <w:rPr>
          <w:rFonts w:hint="eastAsia" w:ascii="宋体" w:hAnsi="宋体" w:eastAsia="宋体" w:cs="宋体"/>
          <w:sz w:val="20"/>
          <w:szCs w:val="20"/>
        </w:rPr>
      </w:pPr>
      <w:r>
        <w:rPr>
          <w:rFonts w:hint="eastAsia" w:ascii="宋体" w:hAnsi="宋体" w:eastAsia="宋体" w:cs="宋体"/>
          <w:b/>
          <w:bCs/>
          <w:spacing w:val="7"/>
          <w:sz w:val="20"/>
          <w:szCs w:val="20"/>
        </w:rPr>
        <w:t>《</w:t>
      </w:r>
      <w:r>
        <w:rPr>
          <w:rFonts w:hint="eastAsia" w:ascii="宋体" w:hAnsi="宋体" w:eastAsia="宋体" w:cs="宋体"/>
          <w:b/>
          <w:bCs/>
          <w:spacing w:val="7"/>
          <w:sz w:val="20"/>
          <w:szCs w:val="20"/>
          <w:lang w:val="en-US" w:eastAsia="zh-CN"/>
        </w:rPr>
        <w:t>水果</w:t>
      </w:r>
      <w:r>
        <w:rPr>
          <w:rFonts w:hint="eastAsia" w:ascii="宋体" w:hAnsi="宋体" w:eastAsia="宋体" w:cs="宋体"/>
          <w:b/>
          <w:bCs/>
          <w:spacing w:val="7"/>
          <w:sz w:val="20"/>
          <w:szCs w:val="20"/>
        </w:rPr>
        <w:t>配送</w:t>
      </w:r>
      <w:r>
        <w:rPr>
          <w:rFonts w:hint="eastAsia" w:ascii="宋体" w:hAnsi="宋体" w:eastAsia="宋体" w:cs="宋体"/>
          <w:b/>
          <w:bCs/>
          <w:spacing w:val="7"/>
          <w:sz w:val="20"/>
          <w:szCs w:val="20"/>
          <w:lang w:val="en-US" w:eastAsia="zh-CN"/>
        </w:rPr>
        <w:t>供应商</w:t>
      </w:r>
      <w:r>
        <w:rPr>
          <w:rFonts w:hint="eastAsia" w:ascii="宋体" w:hAnsi="宋体" w:eastAsia="宋体" w:cs="宋体"/>
          <w:b/>
          <w:bCs/>
          <w:spacing w:val="7"/>
          <w:sz w:val="20"/>
          <w:szCs w:val="20"/>
        </w:rPr>
        <w:t>评价考核标准》</w:t>
      </w:r>
    </w:p>
    <w:tbl>
      <w:tblPr>
        <w:tblStyle w:val="6"/>
        <w:tblpPr w:leftFromText="180" w:rightFromText="180" w:vertAnchor="text" w:horzAnchor="page" w:tblpX="1684" w:tblpY="4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872"/>
        <w:gridCol w:w="2208"/>
        <w:gridCol w:w="2131"/>
      </w:tblGrid>
      <w:tr w14:paraId="55F1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11" w:type="dxa"/>
            <w:noWrap w:val="0"/>
            <w:vAlign w:val="center"/>
          </w:tcPr>
          <w:p w14:paraId="5A770253">
            <w:pPr>
              <w:jc w:val="center"/>
              <w:rPr>
                <w:rFonts w:hint="default"/>
                <w:b/>
                <w:bCs/>
                <w:sz w:val="21"/>
                <w:szCs w:val="21"/>
                <w:vertAlign w:val="baseline"/>
                <w:lang w:val="en-US" w:eastAsia="zh-CN"/>
              </w:rPr>
            </w:pPr>
            <w:r>
              <w:rPr>
                <w:rFonts w:hint="eastAsia"/>
                <w:b/>
                <w:bCs/>
                <w:sz w:val="21"/>
                <w:szCs w:val="21"/>
                <w:vertAlign w:val="baseline"/>
                <w:lang w:val="en-US" w:eastAsia="zh-CN"/>
              </w:rPr>
              <w:t>考核维度</w:t>
            </w:r>
          </w:p>
        </w:tc>
        <w:tc>
          <w:tcPr>
            <w:tcW w:w="2872" w:type="dxa"/>
            <w:noWrap w:val="0"/>
            <w:vAlign w:val="center"/>
          </w:tcPr>
          <w:p w14:paraId="17D70187">
            <w:pPr>
              <w:jc w:val="center"/>
              <w:rPr>
                <w:rFonts w:hint="default"/>
                <w:b/>
                <w:bCs/>
                <w:sz w:val="21"/>
                <w:szCs w:val="21"/>
                <w:vertAlign w:val="baseline"/>
                <w:lang w:val="en-US" w:eastAsia="zh-CN"/>
              </w:rPr>
            </w:pPr>
            <w:r>
              <w:rPr>
                <w:rFonts w:hint="eastAsia"/>
                <w:b/>
                <w:bCs/>
                <w:sz w:val="21"/>
                <w:szCs w:val="21"/>
                <w:vertAlign w:val="baseline"/>
                <w:lang w:val="en-US" w:eastAsia="zh-CN"/>
              </w:rPr>
              <w:t>考核指标</w:t>
            </w:r>
          </w:p>
        </w:tc>
        <w:tc>
          <w:tcPr>
            <w:tcW w:w="2208" w:type="dxa"/>
            <w:noWrap w:val="0"/>
            <w:vAlign w:val="center"/>
          </w:tcPr>
          <w:p w14:paraId="4F98F835">
            <w:pPr>
              <w:jc w:val="center"/>
              <w:rPr>
                <w:rFonts w:hint="default"/>
                <w:b/>
                <w:bCs/>
                <w:sz w:val="21"/>
                <w:szCs w:val="21"/>
                <w:vertAlign w:val="baseline"/>
                <w:lang w:val="en-US" w:eastAsia="zh-CN"/>
              </w:rPr>
            </w:pPr>
            <w:r>
              <w:rPr>
                <w:rFonts w:hint="eastAsia"/>
                <w:b/>
                <w:bCs/>
                <w:sz w:val="21"/>
                <w:szCs w:val="21"/>
                <w:vertAlign w:val="baseline"/>
                <w:lang w:val="en-US" w:eastAsia="zh-CN"/>
              </w:rPr>
              <w:t>分值</w:t>
            </w:r>
          </w:p>
        </w:tc>
        <w:tc>
          <w:tcPr>
            <w:tcW w:w="2131" w:type="dxa"/>
            <w:noWrap w:val="0"/>
            <w:vAlign w:val="center"/>
          </w:tcPr>
          <w:p w14:paraId="6E1B1EB7">
            <w:pPr>
              <w:jc w:val="center"/>
              <w:rPr>
                <w:rFonts w:hint="eastAsia"/>
                <w:b/>
                <w:bCs/>
                <w:sz w:val="21"/>
                <w:szCs w:val="21"/>
                <w:vertAlign w:val="baseline"/>
                <w:lang w:val="en-US" w:eastAsia="zh-CN"/>
              </w:rPr>
            </w:pPr>
            <w:r>
              <w:rPr>
                <w:rFonts w:hint="eastAsia"/>
                <w:b/>
                <w:bCs/>
                <w:sz w:val="21"/>
                <w:szCs w:val="21"/>
                <w:vertAlign w:val="baseline"/>
                <w:lang w:val="en-US" w:eastAsia="zh-CN"/>
              </w:rPr>
              <w:t>备注</w:t>
            </w:r>
          </w:p>
        </w:tc>
      </w:tr>
      <w:tr w14:paraId="199A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5787EFAA">
            <w:pPr>
              <w:jc w:val="center"/>
              <w:rPr>
                <w:rFonts w:hint="eastAsia"/>
                <w:color w:val="auto"/>
                <w:sz w:val="21"/>
                <w:szCs w:val="21"/>
                <w:vertAlign w:val="baseline"/>
                <w:lang w:val="en-US" w:eastAsia="zh-CN"/>
              </w:rPr>
            </w:pPr>
            <w:r>
              <w:rPr>
                <w:rStyle w:val="8"/>
                <w:rFonts w:ascii="Segoe UI" w:hAnsi="Segoe UI" w:eastAsia="Segoe UI" w:cs="Segoe UI"/>
                <w:i w:val="0"/>
                <w:iCs w:val="0"/>
                <w:caps w:val="0"/>
                <w:color w:val="auto"/>
                <w:spacing w:val="0"/>
                <w:sz w:val="21"/>
                <w:szCs w:val="21"/>
                <w:shd w:val="clear" w:color="auto" w:fill="FFFFFF"/>
              </w:rPr>
              <w:t>质量</w:t>
            </w:r>
          </w:p>
        </w:tc>
        <w:tc>
          <w:tcPr>
            <w:tcW w:w="2872" w:type="dxa"/>
            <w:noWrap w:val="0"/>
            <w:vAlign w:val="center"/>
          </w:tcPr>
          <w:p w14:paraId="5FE19C17">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产品合格率</w:t>
            </w:r>
          </w:p>
        </w:tc>
        <w:tc>
          <w:tcPr>
            <w:tcW w:w="2208" w:type="dxa"/>
            <w:noWrap w:val="0"/>
            <w:vAlign w:val="top"/>
          </w:tcPr>
          <w:p w14:paraId="7D40C22E">
            <w:pPr>
              <w:jc w:val="center"/>
              <w:rPr>
                <w:rFonts w:hint="default"/>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0-60分</w:t>
            </w:r>
          </w:p>
        </w:tc>
        <w:tc>
          <w:tcPr>
            <w:tcW w:w="2131" w:type="dxa"/>
            <w:noWrap w:val="0"/>
            <w:vAlign w:val="center"/>
          </w:tcPr>
          <w:p w14:paraId="37B590AA">
            <w:pPr>
              <w:jc w:val="center"/>
              <w:rPr>
                <w:rFonts w:hint="eastAsia" w:eastAsia="宋体"/>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依据验收</w:t>
            </w:r>
            <w:r>
              <w:rPr>
                <w:rFonts w:hint="eastAsia" w:ascii="Segoe UI" w:hAnsi="Segoe UI" w:eastAsia="宋体" w:cs="Segoe UI"/>
                <w:i w:val="0"/>
                <w:iCs w:val="0"/>
                <w:caps w:val="0"/>
                <w:color w:val="auto"/>
                <w:spacing w:val="0"/>
                <w:sz w:val="21"/>
                <w:szCs w:val="21"/>
                <w:shd w:val="clear" w:color="auto" w:fill="FFFFFF"/>
                <w:lang w:val="en-US" w:eastAsia="zh-CN"/>
              </w:rPr>
              <w:t>情况</w:t>
            </w:r>
          </w:p>
        </w:tc>
      </w:tr>
      <w:tr w14:paraId="4748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4CDCDC6F">
            <w:pPr>
              <w:rPr>
                <w:rFonts w:hint="eastAsia"/>
                <w:color w:val="auto"/>
                <w:sz w:val="21"/>
                <w:szCs w:val="21"/>
                <w:vertAlign w:val="baseline"/>
                <w:lang w:val="en-US" w:eastAsia="zh-CN"/>
              </w:rPr>
            </w:pPr>
          </w:p>
        </w:tc>
        <w:tc>
          <w:tcPr>
            <w:tcW w:w="2872" w:type="dxa"/>
            <w:noWrap w:val="0"/>
            <w:vAlign w:val="center"/>
          </w:tcPr>
          <w:p w14:paraId="0C1C5857">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质量异常处理及时性</w:t>
            </w:r>
          </w:p>
        </w:tc>
        <w:tc>
          <w:tcPr>
            <w:tcW w:w="2208" w:type="dxa"/>
            <w:noWrap w:val="0"/>
            <w:vAlign w:val="top"/>
          </w:tcPr>
          <w:p w14:paraId="3576F6F5">
            <w:pPr>
              <w:jc w:val="center"/>
              <w:rPr>
                <w:rFonts w:hint="default"/>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6DB19F08">
            <w:pPr>
              <w:rPr>
                <w:rFonts w:hint="eastAsia"/>
                <w:color w:val="auto"/>
                <w:sz w:val="21"/>
                <w:szCs w:val="21"/>
                <w:vertAlign w:val="baseline"/>
                <w:lang w:val="en-US" w:eastAsia="zh-CN"/>
              </w:rPr>
            </w:pPr>
          </w:p>
        </w:tc>
      </w:tr>
      <w:tr w14:paraId="3B17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18F29ED3">
            <w:pPr>
              <w:jc w:val="center"/>
              <w:rPr>
                <w:rStyle w:val="8"/>
                <w:rFonts w:hint="default" w:ascii="Segoe UI" w:hAnsi="Segoe UI" w:eastAsia="Segoe UI" w:cs="Segoe UI"/>
                <w:i w:val="0"/>
                <w:iCs w:val="0"/>
                <w:caps w:val="0"/>
                <w:color w:val="auto"/>
                <w:spacing w:val="0"/>
                <w:sz w:val="21"/>
                <w:szCs w:val="21"/>
                <w:shd w:val="clear" w:color="auto" w:fill="FFFFFF"/>
                <w:lang w:val="en-US" w:eastAsia="zh-CN"/>
              </w:rPr>
            </w:pPr>
            <w:r>
              <w:rPr>
                <w:rStyle w:val="8"/>
                <w:rFonts w:hint="eastAsia" w:ascii="Segoe UI" w:hAnsi="Segoe UI" w:eastAsia="Segoe UI" w:cs="Segoe UI"/>
                <w:i w:val="0"/>
                <w:iCs w:val="0"/>
                <w:caps w:val="0"/>
                <w:color w:val="auto"/>
                <w:spacing w:val="0"/>
                <w:sz w:val="21"/>
                <w:szCs w:val="21"/>
                <w:shd w:val="clear" w:color="auto" w:fill="FFFFFF"/>
                <w:lang w:val="en-US" w:eastAsia="zh-CN"/>
              </w:rPr>
              <w:t>交货</w:t>
            </w:r>
          </w:p>
        </w:tc>
        <w:tc>
          <w:tcPr>
            <w:tcW w:w="2872" w:type="dxa"/>
            <w:noWrap w:val="0"/>
            <w:vAlign w:val="center"/>
          </w:tcPr>
          <w:p w14:paraId="171F47AF">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交货准时率</w:t>
            </w:r>
          </w:p>
        </w:tc>
        <w:tc>
          <w:tcPr>
            <w:tcW w:w="2208" w:type="dxa"/>
            <w:noWrap w:val="0"/>
            <w:vAlign w:val="top"/>
          </w:tcPr>
          <w:p w14:paraId="0BD91D9E">
            <w:pPr>
              <w:jc w:val="center"/>
              <w:rPr>
                <w:rFonts w:hint="default"/>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center"/>
          </w:tcPr>
          <w:p w14:paraId="3ECCC354">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按约定时间</w:t>
            </w:r>
          </w:p>
        </w:tc>
      </w:tr>
      <w:tr w14:paraId="6741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0AF3961B">
            <w:pPr>
              <w:jc w:val="center"/>
              <w:rPr>
                <w:rStyle w:val="8"/>
                <w:rFonts w:hint="eastAsia" w:ascii="Segoe UI" w:hAnsi="Segoe UI" w:eastAsia="Segoe UI" w:cs="Segoe UI"/>
                <w:i w:val="0"/>
                <w:iCs w:val="0"/>
                <w:caps w:val="0"/>
                <w:color w:val="auto"/>
                <w:spacing w:val="0"/>
                <w:sz w:val="21"/>
                <w:szCs w:val="21"/>
                <w:shd w:val="clear" w:color="auto" w:fill="FFFFFF"/>
                <w:lang w:val="en-US" w:eastAsia="zh-CN"/>
              </w:rPr>
            </w:pPr>
          </w:p>
        </w:tc>
        <w:tc>
          <w:tcPr>
            <w:tcW w:w="2872" w:type="dxa"/>
            <w:noWrap w:val="0"/>
            <w:vAlign w:val="center"/>
          </w:tcPr>
          <w:p w14:paraId="76C0EF56">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紧急订单响应速度</w:t>
            </w:r>
          </w:p>
        </w:tc>
        <w:tc>
          <w:tcPr>
            <w:tcW w:w="2208" w:type="dxa"/>
            <w:noWrap w:val="0"/>
            <w:vAlign w:val="top"/>
          </w:tcPr>
          <w:p w14:paraId="77BE9829">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33C036DE">
            <w:pPr>
              <w:rPr>
                <w:rFonts w:hint="eastAsia"/>
                <w:color w:val="auto"/>
                <w:sz w:val="21"/>
                <w:szCs w:val="21"/>
                <w:vertAlign w:val="baseline"/>
                <w:lang w:val="en-US" w:eastAsia="zh-CN"/>
              </w:rPr>
            </w:pPr>
          </w:p>
        </w:tc>
      </w:tr>
      <w:tr w14:paraId="151D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10D0EEC8">
            <w:pPr>
              <w:jc w:val="center"/>
              <w:rPr>
                <w:rStyle w:val="8"/>
                <w:rFonts w:hint="default" w:ascii="Segoe UI" w:hAnsi="Segoe UI" w:eastAsia="Segoe UI" w:cs="Segoe UI"/>
                <w:i w:val="0"/>
                <w:iCs w:val="0"/>
                <w:caps w:val="0"/>
                <w:color w:val="auto"/>
                <w:spacing w:val="0"/>
                <w:sz w:val="21"/>
                <w:szCs w:val="21"/>
                <w:shd w:val="clear" w:color="auto" w:fill="FFFFFF"/>
                <w:lang w:val="en-US" w:eastAsia="zh-CN"/>
              </w:rPr>
            </w:pPr>
            <w:r>
              <w:rPr>
                <w:rStyle w:val="8"/>
                <w:rFonts w:hint="eastAsia" w:ascii="Segoe UI" w:hAnsi="Segoe UI" w:eastAsia="Segoe UI" w:cs="Segoe UI"/>
                <w:i w:val="0"/>
                <w:iCs w:val="0"/>
                <w:caps w:val="0"/>
                <w:color w:val="auto"/>
                <w:spacing w:val="0"/>
                <w:sz w:val="21"/>
                <w:szCs w:val="21"/>
                <w:shd w:val="clear" w:color="auto" w:fill="FFFFFF"/>
                <w:lang w:val="en-US" w:eastAsia="zh-CN"/>
              </w:rPr>
              <w:t>服务</w:t>
            </w:r>
          </w:p>
        </w:tc>
        <w:tc>
          <w:tcPr>
            <w:tcW w:w="2872" w:type="dxa"/>
            <w:noWrap w:val="0"/>
            <w:vAlign w:val="center"/>
          </w:tcPr>
          <w:p w14:paraId="3A9E0A9F">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沟通配合度（响应及时性）</w:t>
            </w:r>
          </w:p>
        </w:tc>
        <w:tc>
          <w:tcPr>
            <w:tcW w:w="2208" w:type="dxa"/>
            <w:noWrap w:val="0"/>
            <w:vAlign w:val="top"/>
          </w:tcPr>
          <w:p w14:paraId="2FDE74A5">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center"/>
          </w:tcPr>
          <w:p w14:paraId="60B0CF7A">
            <w:pPr>
              <w:jc w:val="cente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电话响应速度</w:t>
            </w:r>
          </w:p>
        </w:tc>
      </w:tr>
      <w:tr w14:paraId="1F9B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11" w:type="dxa"/>
            <w:vMerge w:val="continue"/>
            <w:noWrap w:val="0"/>
            <w:vAlign w:val="top"/>
          </w:tcPr>
          <w:p w14:paraId="0B55E668">
            <w:pPr>
              <w:rPr>
                <w:rFonts w:hint="eastAsia"/>
                <w:color w:val="auto"/>
                <w:sz w:val="21"/>
                <w:szCs w:val="21"/>
                <w:vertAlign w:val="baseline"/>
                <w:lang w:val="en-US" w:eastAsia="zh-CN"/>
              </w:rPr>
            </w:pPr>
          </w:p>
        </w:tc>
        <w:tc>
          <w:tcPr>
            <w:tcW w:w="2872" w:type="dxa"/>
            <w:noWrap w:val="0"/>
            <w:vAlign w:val="center"/>
          </w:tcPr>
          <w:p w14:paraId="487BDF72">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沟通配合度、主动改进意愿、长期合作潜力</w:t>
            </w:r>
          </w:p>
        </w:tc>
        <w:tc>
          <w:tcPr>
            <w:tcW w:w="2208" w:type="dxa"/>
            <w:noWrap w:val="0"/>
            <w:vAlign w:val="top"/>
          </w:tcPr>
          <w:p w14:paraId="6C441127">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0913C88A">
            <w:pPr>
              <w:rPr>
                <w:rFonts w:hint="eastAsia"/>
                <w:color w:val="auto"/>
                <w:sz w:val="21"/>
                <w:szCs w:val="21"/>
                <w:vertAlign w:val="baseline"/>
                <w:lang w:val="en-US" w:eastAsia="zh-CN"/>
              </w:rPr>
            </w:pPr>
          </w:p>
        </w:tc>
      </w:tr>
      <w:tr w14:paraId="7609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noWrap w:val="0"/>
            <w:vAlign w:val="center"/>
          </w:tcPr>
          <w:p w14:paraId="53C15FF3">
            <w:pPr>
              <w:jc w:val="center"/>
              <w:rPr>
                <w:rFonts w:hint="default"/>
                <w:color w:val="auto"/>
                <w:sz w:val="21"/>
                <w:szCs w:val="21"/>
                <w:vertAlign w:val="baseline"/>
                <w:lang w:val="en-US" w:eastAsia="zh-CN"/>
              </w:rPr>
            </w:pPr>
            <w:r>
              <w:rPr>
                <w:rStyle w:val="8"/>
                <w:rFonts w:hint="eastAsia" w:ascii="Segoe UI" w:hAnsi="Segoe UI" w:eastAsia="Segoe UI" w:cs="Segoe UI"/>
                <w:i w:val="0"/>
                <w:iCs w:val="0"/>
                <w:caps w:val="0"/>
                <w:color w:val="auto"/>
                <w:spacing w:val="0"/>
                <w:sz w:val="21"/>
                <w:szCs w:val="21"/>
                <w:shd w:val="clear" w:color="auto" w:fill="FFFFFF"/>
                <w:lang w:val="en-US" w:eastAsia="zh-CN"/>
              </w:rPr>
              <w:t>问题解决能力</w:t>
            </w:r>
          </w:p>
        </w:tc>
        <w:tc>
          <w:tcPr>
            <w:tcW w:w="2872" w:type="dxa"/>
            <w:noWrap w:val="0"/>
            <w:vAlign w:val="center"/>
          </w:tcPr>
          <w:p w14:paraId="1A971366">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对突发问题或投诉的解决效率及效果（如解决方案满意度）</w:t>
            </w:r>
          </w:p>
        </w:tc>
        <w:tc>
          <w:tcPr>
            <w:tcW w:w="2208" w:type="dxa"/>
            <w:noWrap w:val="0"/>
            <w:vAlign w:val="top"/>
          </w:tcPr>
          <w:p w14:paraId="6B6A3EC2">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3CAF4185">
            <w:pPr>
              <w:rPr>
                <w:rFonts w:hint="eastAsia"/>
                <w:color w:val="auto"/>
                <w:sz w:val="21"/>
                <w:szCs w:val="21"/>
                <w:vertAlign w:val="baseline"/>
                <w:lang w:val="en-US" w:eastAsia="zh-CN"/>
              </w:rPr>
            </w:pPr>
          </w:p>
        </w:tc>
      </w:tr>
      <w:tr w14:paraId="0FC3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restart"/>
            <w:noWrap w:val="0"/>
            <w:vAlign w:val="center"/>
          </w:tcPr>
          <w:p w14:paraId="3E11C0D6">
            <w:pPr>
              <w:jc w:val="center"/>
              <w:rPr>
                <w:rFonts w:hint="default"/>
                <w:color w:val="auto"/>
                <w:sz w:val="21"/>
                <w:szCs w:val="21"/>
                <w:vertAlign w:val="baseline"/>
                <w:lang w:val="en-US" w:eastAsia="zh-CN"/>
              </w:rPr>
            </w:pPr>
            <w:r>
              <w:rPr>
                <w:rStyle w:val="8"/>
                <w:rFonts w:hint="eastAsia" w:ascii="Segoe UI" w:hAnsi="Segoe UI" w:eastAsia="Segoe UI" w:cs="Segoe UI"/>
                <w:i w:val="0"/>
                <w:iCs w:val="0"/>
                <w:caps w:val="0"/>
                <w:color w:val="auto"/>
                <w:spacing w:val="0"/>
                <w:sz w:val="21"/>
                <w:szCs w:val="21"/>
                <w:shd w:val="clear" w:color="auto" w:fill="FFFFFF"/>
                <w:lang w:val="en-US" w:eastAsia="zh-CN"/>
              </w:rPr>
              <w:t>其他</w:t>
            </w:r>
          </w:p>
        </w:tc>
        <w:tc>
          <w:tcPr>
            <w:tcW w:w="2872" w:type="dxa"/>
            <w:noWrap w:val="0"/>
            <w:vAlign w:val="center"/>
          </w:tcPr>
          <w:p w14:paraId="671EEBB3">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合同履约合规性</w:t>
            </w:r>
          </w:p>
        </w:tc>
        <w:tc>
          <w:tcPr>
            <w:tcW w:w="2208" w:type="dxa"/>
            <w:noWrap w:val="0"/>
            <w:vAlign w:val="top"/>
          </w:tcPr>
          <w:p w14:paraId="12C63836">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6C041634">
            <w:pPr>
              <w:rPr>
                <w:rFonts w:hint="eastAsia"/>
                <w:color w:val="auto"/>
                <w:sz w:val="21"/>
                <w:szCs w:val="21"/>
                <w:vertAlign w:val="baseline"/>
                <w:lang w:val="en-US" w:eastAsia="zh-CN"/>
              </w:rPr>
            </w:pPr>
          </w:p>
        </w:tc>
      </w:tr>
      <w:tr w14:paraId="064A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11" w:type="dxa"/>
            <w:vMerge w:val="continue"/>
            <w:noWrap w:val="0"/>
            <w:vAlign w:val="top"/>
          </w:tcPr>
          <w:p w14:paraId="04F672E6">
            <w:pPr>
              <w:rPr>
                <w:rFonts w:hint="eastAsia"/>
                <w:color w:val="auto"/>
                <w:sz w:val="21"/>
                <w:szCs w:val="21"/>
                <w:vertAlign w:val="baseline"/>
                <w:lang w:val="en-US" w:eastAsia="zh-CN"/>
              </w:rPr>
            </w:pPr>
          </w:p>
        </w:tc>
        <w:tc>
          <w:tcPr>
            <w:tcW w:w="2872" w:type="dxa"/>
            <w:noWrap w:val="0"/>
            <w:vAlign w:val="center"/>
          </w:tcPr>
          <w:p w14:paraId="79DCB780">
            <w:pPr>
              <w:jc w:val="cente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创新能力/改进建议</w:t>
            </w:r>
          </w:p>
        </w:tc>
        <w:tc>
          <w:tcPr>
            <w:tcW w:w="2208" w:type="dxa"/>
            <w:noWrap w:val="0"/>
            <w:vAlign w:val="top"/>
          </w:tcPr>
          <w:p w14:paraId="2D59710C">
            <w:pPr>
              <w:jc w:val="center"/>
              <w:rPr>
                <w:rFonts w:hint="eastAsia"/>
                <w:color w:val="auto"/>
                <w:sz w:val="21"/>
                <w:szCs w:val="21"/>
                <w:vertAlign w:val="baseline"/>
                <w:lang w:val="en-US" w:eastAsia="zh-CN"/>
              </w:rPr>
            </w:pPr>
            <w:r>
              <w:rPr>
                <w:rFonts w:hint="eastAsia" w:ascii="Segoe UI" w:hAnsi="Segoe UI" w:eastAsia="宋体" w:cs="Segoe UI"/>
                <w:i w:val="0"/>
                <w:iCs w:val="0"/>
                <w:caps w:val="0"/>
                <w:color w:val="auto"/>
                <w:spacing w:val="0"/>
                <w:sz w:val="21"/>
                <w:szCs w:val="21"/>
                <w:shd w:val="clear" w:color="auto" w:fill="FFFFFF"/>
                <w:lang w:val="en-US" w:eastAsia="zh-CN"/>
              </w:rPr>
              <w:t>0-5分</w:t>
            </w:r>
          </w:p>
        </w:tc>
        <w:tc>
          <w:tcPr>
            <w:tcW w:w="2131" w:type="dxa"/>
            <w:noWrap w:val="0"/>
            <w:vAlign w:val="top"/>
          </w:tcPr>
          <w:p w14:paraId="6462B1E0">
            <w:pPr>
              <w:rPr>
                <w:rFonts w:hint="eastAsia"/>
                <w:color w:val="auto"/>
                <w:sz w:val="21"/>
                <w:szCs w:val="21"/>
                <w:vertAlign w:val="baseline"/>
                <w:lang w:val="en-US" w:eastAsia="zh-CN"/>
              </w:rPr>
            </w:pPr>
          </w:p>
        </w:tc>
      </w:tr>
      <w:tr w14:paraId="6A25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22" w:type="dxa"/>
            <w:gridSpan w:val="4"/>
            <w:noWrap w:val="0"/>
            <w:vAlign w:val="top"/>
          </w:tcPr>
          <w:p w14:paraId="72AFACF1">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优秀（90-100分）：全面达标，表现突出，具有标杆作用。</w:t>
            </w:r>
          </w:p>
          <w:p w14:paraId="5AAA2EFE">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 xml:space="preserve">良好（80-89分）：基本达标，偶有小问题但不影响整体合作。 </w:t>
            </w:r>
          </w:p>
          <w:p w14:paraId="34F35727">
            <w:pPr>
              <w:rPr>
                <w:rFonts w:ascii="Segoe UI" w:hAnsi="Segoe UI" w:eastAsia="Segoe UI" w:cs="Segoe UI"/>
                <w:i w:val="0"/>
                <w:iCs w:val="0"/>
                <w:caps w:val="0"/>
                <w:color w:val="auto"/>
                <w:spacing w:val="0"/>
                <w:sz w:val="21"/>
                <w:szCs w:val="21"/>
                <w:shd w:val="clear" w:color="auto" w:fill="FFFFFF"/>
              </w:rPr>
            </w:pPr>
            <w:r>
              <w:rPr>
                <w:rFonts w:ascii="Segoe UI" w:hAnsi="Segoe UI" w:eastAsia="Segoe UI" w:cs="Segoe UI"/>
                <w:i w:val="0"/>
                <w:iCs w:val="0"/>
                <w:caps w:val="0"/>
                <w:color w:val="auto"/>
                <w:spacing w:val="0"/>
                <w:sz w:val="21"/>
                <w:szCs w:val="21"/>
                <w:shd w:val="clear" w:color="auto" w:fill="FFFFFF"/>
              </w:rPr>
              <w:t xml:space="preserve">合格（60-79分）：存在需改进项，需限期整改。 </w:t>
            </w:r>
          </w:p>
          <w:p w14:paraId="208FFD54">
            <w:pPr>
              <w:rPr>
                <w:rFonts w:hint="eastAsia"/>
                <w:color w:val="auto"/>
                <w:sz w:val="21"/>
                <w:szCs w:val="21"/>
                <w:vertAlign w:val="baseline"/>
                <w:lang w:val="en-US" w:eastAsia="zh-CN"/>
              </w:rPr>
            </w:pPr>
            <w:r>
              <w:rPr>
                <w:rFonts w:ascii="Segoe UI" w:hAnsi="Segoe UI" w:eastAsia="Segoe UI" w:cs="Segoe UI"/>
                <w:i w:val="0"/>
                <w:iCs w:val="0"/>
                <w:caps w:val="0"/>
                <w:color w:val="auto"/>
                <w:spacing w:val="0"/>
                <w:sz w:val="21"/>
                <w:szCs w:val="21"/>
                <w:shd w:val="clear" w:color="auto" w:fill="FFFFFF"/>
              </w:rPr>
              <w:t>不合格（60分以下）：严重违约或多次整改未达标，终止合作。</w:t>
            </w:r>
          </w:p>
        </w:tc>
      </w:tr>
    </w:tbl>
    <w:p w14:paraId="236480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67FDF"/>
    <w:rsid w:val="2746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tabs>
        <w:tab w:val="left" w:pos="567"/>
      </w:tabs>
      <w:spacing w:before="120" w:line="22" w:lineRule="atLeast"/>
    </w:pPr>
    <w:rPr>
      <w:rFonts w:ascii="宋体" w:hAnsi="宋体"/>
      <w:sz w:val="24"/>
    </w:rPr>
  </w:style>
  <w:style w:type="paragraph" w:styleId="4">
    <w:name w:val="Plain Text"/>
    <w:basedOn w:val="1"/>
    <w:uiPriority w:val="0"/>
    <w:rPr>
      <w:rFonts w:ascii="宋体" w:hAnsi="Courier New"/>
      <w:szCs w:val="20"/>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2025-07-28T07:49:00Z</dcterms:created>
  <dc:creator>BLUE</dc:creator>
  <cp:lastModifiedBy>BLUE</cp:lastModifiedBy>
  <dcterms:modified xsi:type="dcterms:W3CDTF">2025-07-28T07:49:45Z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D276349771BB4F9EA22F5DCD3704A3D3_11</vt:lpwstr>
  </property>
  <property fmtid="{D5CDD505-2E9C-101B-9397-08002B2CF9AE}" pid="4" name="KSOTemplateDocerSaveRecord">
    <vt:lpwstr>eyJoZGlkIjoiYTJjYjZjNWUwNmUwOTY3ZTE3YzZhZmNmOWMyOGYxNTgiLCJ1c2VySWQiOiI2MzQ3MTk0ODQifQ==</vt:lpwstr>
  </property>
</Properties>
</file>